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80"/>
        <w:jc w:val="center"/>
      </w:pPr>
      <w:r>
        <w:rPr>
          <w:b/>
          <w:bCs/>
          <w:color w:val="888888"/>
          <w:sz w:val="20"/>
          <w:szCs w:val="20"/>
        </w:rPr>
        <w:t xml:space="preserve">STATE OF OREGON</w:t>
      </w:r>
    </w:p>
    <w:p>
      <w:pPr>
        <w:spacing w:after="60"/>
        <w:jc w:val="center"/>
      </w:pPr>
      <w:r>
        <w:rPr>
          <w:b/>
          <w:bCs/>
          <w:color w:val="888888"/>
          <w:sz w:val="20"/>
          <w:szCs w:val="20"/>
        </w:rPr>
        <w:t xml:space="preserve">OFFICE OF THE SECRETARY OF STATE — CORPORATIONS DIVISION</w:t>
      </w:r>
    </w:p>
    <w:p>
      <w:pPr>
        <w:spacing w:after="80"/>
      </w:pPr>
      <w:r>
        <w:t xml:space="preserve"/>
      </w:r>
    </w:p>
    <w:p>
      <w:pPr>
        <w:spacing w:after="80"/>
        <w:jc w:val="center"/>
      </w:pPr>
      <w:r>
        <w:rPr>
          <w:b/>
          <w:bCs/>
          <w:color w:val="1e3a5f"/>
          <w:sz w:val="40"/>
          <w:szCs w:val="40"/>
        </w:rPr>
        <w:t xml:space="preserve">ARTICLES OF INCORPORATION</w:t>
      </w:r>
    </w:p>
    <w:p>
      <w:pPr>
        <w:spacing w:after="60"/>
        <w:jc w:val="center"/>
      </w:pPr>
      <w:r>
        <w:rPr>
          <w:b/>
          <w:bCs/>
          <w:color w:val="16a34a"/>
          <w:sz w:val="34"/>
          <w:szCs w:val="34"/>
        </w:rPr>
        <w:t xml:space="preserve">HUMAN ASSET COOPERATIVE</w:t>
      </w:r>
    </w:p>
    <w:p>
      <w:pPr>
        <w:spacing w:after="60"/>
        <w:jc w:val="center"/>
      </w:pPr>
      <w:r>
        <w:rPr>
          <w:b/>
          <w:bCs/>
          <w:color w:val="16a34a"/>
          <w:sz w:val="34"/>
          <w:szCs w:val="34"/>
        </w:rPr>
        <w:t xml:space="preserve">OF EUGENE-SPRINGFIELD</w:t>
      </w:r>
    </w:p>
    <w:p>
      <w:pPr>
        <w:spacing w:after="120"/>
        <w:jc w:val="center"/>
      </w:pPr>
      <w:r>
        <w:rPr>
          <w:i/>
          <w:iCs/>
          <w:color w:val="374151"/>
          <w:sz w:val="26"/>
          <w:szCs w:val="26"/>
        </w:rPr>
        <w:t xml:space="preserve">A Worker Cooperative Corporation</w:t>
      </w:r>
    </w:p>
    <w:p>
      <w:pPr>
        <w:spacing w:after="60"/>
        <w:jc w:val="center"/>
      </w:pPr>
      <w:r>
        <w:rPr>
          <w:color w:val="555555"/>
          <w:sz w:val="22"/>
          <w:szCs w:val="22"/>
        </w:rPr>
        <w:t xml:space="preserve">Pursuant to Oregon Revised Statutes Chapter 62</w:t>
      </w:r>
    </w:p>
    <w:p>
      <w:pPr>
        <w:spacing w:after="60"/>
        <w:jc w:val="center"/>
      </w:pPr>
      <w:r>
        <w:rPr>
          <w:color w:val="888888"/>
          <w:sz w:val="22"/>
          <w:szCs w:val="22"/>
        </w:rPr>
        <w:t xml:space="preserve">Eugene, Oregon · Lane County · 2026</w:t>
      </w:r>
    </w:p>
    <w:p>
      <w:pPr>
        <w:spacing w:after="80"/>
      </w:pPr>
      <w:r>
        <w:t xml:space="preserve"/>
      </w:r>
    </w:p>
    <w:p>
      <w:pPr>
        <w:pBdr>
          <w:top w:val="single" w:color="16a34a" w:sz="4"/>
          <w:bottom w:val="single" w:color="16a34a" w:sz="4"/>
          <w:left w:val="single" w:color="16a34a" w:sz="12"/>
          <w:right w:val="single" w:color="16a34a" w:sz="4"/>
        </w:pBdr>
        <w:shd w:fill="f0fdf4" w:val="clear"/>
        <w:spacing w:after="120" w:before="120"/>
        <w:ind w:left="200" w:right="200"/>
      </w:pPr>
      <w:r>
        <w:rPr>
          <w:i/>
          <w:iCs/>
          <w:color w:val="166534"/>
          <w:sz w:val="22"/>
          <w:szCs w:val="22"/>
        </w:rPr>
        <w:t xml:space="preserve">DRAFT — FOR ATTORNEY REVIEW ONLY — NOT FOR FILING. All bracketed fields must be completed before submission to the Oregon Secretary of State.</w:t>
      </w:r>
    </w:p>
    <w:p>
      <w:pPr>
        <w:spacing w:after="80"/>
      </w:pPr>
      <w:r>
        <w:t xml:space="preserve"/>
      </w:r>
    </w:p>
    <w:p>
      <w:pPr>
        <w:pBdr>
          <w:top w:val="single" w:color="CCCCCC" w:sz="2"/>
          <w:bottom w:val="single" w:color="CCCCCC" w:sz="2"/>
          <w:left w:val="single" w:color="CCCCCC" w:sz="2"/>
          <w:right w:val="single" w:color="CCCCCC" w:sz="2"/>
        </w:pBdr>
        <w:shd w:fill="F8FAFC" w:val="clear"/>
        <w:spacing w:after="120" w:before="120"/>
        <w:ind w:left="200" w:right="200"/>
      </w:pPr>
      <w:r>
        <w:rPr>
          <w:color w:val="374151"/>
          <w:sz w:val="20"/>
          <w:szCs w:val="20"/>
        </w:rPr>
        <w:t xml:space="preserve">This cooperative operates in partnership with Human Asset Nonprofit, a 501(c)(3) nonprofit corporation, under an Inter-entity Services Agreement. The nonprofit entity manages charitable programs, grants, and tax-exempt fundraising. This cooperative entity manages operations, employs member-workers, and distributes Human Asset Dividends. Together they constitute the Human Asset Cooperative of Eugene-Springfield organizational structure.</w:t>
      </w:r>
    </w:p>
    <w:p>
      <w:pPr>
        <w:spacing w:after="80"/>
      </w:pPr>
      <w:r>
        <w:t xml:space="preserve"/>
      </w:r>
    </w:p>
    <w:p>
      <w:pPr>
        <w:pStyle w:val="Heading1"/>
      </w:pPr>
      <w:r>
        <w:t xml:space="preserve">Article I — Name</w:t>
      </w:r>
    </w:p>
    <w:p>
      <w:pPr>
        <w:spacing w:after="120"/>
      </w:pPr>
      <w:r>
        <w:t xml:space="preserve">The name of this corporation is:</w:t>
      </w:r>
    </w:p>
    <w:p>
      <w:pPr>
        <w:spacing w:after="80"/>
      </w:pPr>
      <w:r>
        <w:t xml:space="preserve"/>
      </w:r>
    </w:p>
    <w:p>
      <w:pPr>
        <w:spacing w:after="80" w:before="80"/>
        <w:jc w:val="center"/>
      </w:pPr>
      <w:r>
        <w:rPr>
          <w:b/>
          <w:bCs/>
          <w:color w:val="16a34a"/>
          <w:sz w:val="28"/>
          <w:szCs w:val="28"/>
        </w:rPr>
        <w:t xml:space="preserve">HUMAN ASSET COOPERATIVE OF EUGENE-SPRINGFIELD</w:t>
      </w:r>
    </w:p>
    <w:p>
      <w:pPr>
        <w:spacing w:after="80"/>
      </w:pPr>
      <w:r>
        <w:t xml:space="preserve"/>
      </w:r>
    </w:p>
    <w:p>
      <w:pPr>
        <w:spacing w:after="120"/>
      </w:pPr>
      <w:r>
        <w:t xml:space="preserve">The corporation is organized as a worker cooperative corporation under the laws of the State of Oregon. It may conduct business under the assumed business name "HAC-ES" or "Human Asset Cooperative" as registered with the Oregon Secretary of State.</w:t>
      </w:r>
    </w:p>
    <w:p>
      <w:pPr>
        <w:spacing w:after="80"/>
      </w:pPr>
      <w:r>
        <w:t xml:space="preserve"/>
      </w:r>
    </w:p>
    <w:p>
      <w:pPr>
        <w:pStyle w:val="Heading1"/>
      </w:pPr>
      <w:r>
        <w:t xml:space="preserve">Article II — Registered Agent and Principal Office</w:t>
      </w:r>
    </w:p>
    <w:p>
      <w:pPr>
        <w:spacing w:after="120"/>
      </w:pPr>
      <w:r>
        <w:t xml:space="preserve">The name of the initial registered agent of this corporation is [REGISTERED AGENT NAME]. The address of the initial registered office and principal place of business of this corporation is:</w:t>
      </w:r>
    </w:p>
    <w:p>
      <w:pPr>
        <w:spacing w:after="80"/>
      </w:pPr>
      <w:r>
        <w:t xml:space="preserve"/>
      </w:r>
    </w:p>
    <w:p>
      <w:pPr>
        <w:spacing w:after="120"/>
      </w:pPr>
      <w:r>
        <w:t xml:space="preserve">[STREET ADDRESS]</w:t>
      </w:r>
    </w:p>
    <w:p>
      <w:pPr>
        <w:spacing w:after="120"/>
      </w:pPr>
      <w:r>
        <w:t xml:space="preserve">Eugene, Oregon [ZIP CODE]</w:t>
      </w:r>
    </w:p>
    <w:p>
      <w:pPr>
        <w:spacing w:after="120"/>
      </w:pPr>
      <w:r>
        <w:t xml:space="preserve">Lane County</w:t>
      </w:r>
    </w:p>
    <w:p>
      <w:pPr>
        <w:spacing w:after="80"/>
      </w:pPr>
      <w:r>
        <w:t xml:space="preserve"/>
      </w:r>
    </w:p>
    <w:p>
      <w:pPr>
        <w:spacing w:after="120"/>
      </w:pPr>
      <w:r>
        <w:t xml:space="preserve">The registered agent consents to this appointment. The corporation may change its registered agent or registered office by filing the required form with the Oregon Secretary of State.</w:t>
      </w:r>
    </w:p>
    <w:p>
      <w:pPr>
        <w:spacing w:after="80"/>
      </w:pPr>
      <w:r>
        <w:t xml:space="preserve"/>
      </w:r>
    </w:p>
    <w:p>
      <w:pPr>
        <w:pStyle w:val="Heading1"/>
      </w:pPr>
      <w:r>
        <w:t xml:space="preserve">Article III — Purposes</w:t>
      </w:r>
    </w:p>
    <w:p>
      <w:pPr>
        <w:pStyle w:val="Heading2"/>
      </w:pPr>
      <w:r>
        <w:t xml:space="preserve">Section 3.1 — Primary Purpose</w:t>
      </w:r>
    </w:p>
    <w:p>
      <w:pPr>
        <w:spacing w:after="120"/>
      </w:pPr>
      <w:r>
        <w:t xml:space="preserve">The primary purpose of this corporation is to operate a democratic, worker-owned cooperative enterprise serving the residents of Eugene-Springfield and Lane County, Oregon, through the delivery of services and products that advance community economic resilience, workforce development, and human flourishing. The cooperative exists to generate sustainable earned revenue that supports the Human Asset Dividend program for member-workers and funds the mission of its nonprofit partner.</w:t>
      </w:r>
    </w:p>
    <w:p>
      <w:pPr>
        <w:spacing w:after="80"/>
      </w:pPr>
      <w:r>
        <w:t xml:space="preserve"/>
      </w:r>
    </w:p>
    <w:p>
      <w:pPr>
        <w:pStyle w:val="Heading2"/>
      </w:pPr>
      <w:r>
        <w:t xml:space="preserve">Section 3.2 — Enumerated Purposes</w:t>
      </w:r>
    </w:p>
    <w:p>
      <w:pPr>
        <w:spacing w:after="120"/>
      </w:pPr>
      <w:r>
        <w:t xml:space="preserve">In furtherance of the primary purpose, this cooperative is organized to:</w:t>
      </w:r>
    </w:p>
    <w:p>
      <w:pPr>
        <w:pStyle w:val="ListParagraph"/>
        <w:numPr>
          <w:ilvl w:val="0"/>
          <w:numId w:val="2"/>
        </w:numPr>
        <w:spacing w:after="100"/>
      </w:pPr>
      <w:r>
        <w:t xml:space="preserve">Employ member-workers and distribute patronage dividends (Human Asset Dividends) based on their labor contributions pursuant to Article IX of these Articles and Subchapter T of the Internal Revenue Code;</w:t>
      </w:r>
    </w:p>
    <w:p>
      <w:pPr>
        <w:pStyle w:val="ListParagraph"/>
        <w:numPr>
          <w:ilvl w:val="0"/>
          <w:numId w:val="2"/>
        </w:numPr>
        <w:spacing w:after="100"/>
      </w:pPr>
      <w:r>
        <w:t xml:space="preserve">Deliver services and products as described in Article IV of these Articles to individuals, organizations, government agencies, and the general public throughout Lane County and the State of Oregon;</w:t>
      </w:r>
    </w:p>
    <w:p>
      <w:pPr>
        <w:pStyle w:val="ListParagraph"/>
        <w:numPr>
          <w:ilvl w:val="0"/>
          <w:numId w:val="2"/>
        </w:numPr>
        <w:spacing w:after="100"/>
      </w:pPr>
      <w:r>
        <w:t xml:space="preserve">Contract with Human Asset Nonprofit, a 501(c)(3) nonprofit corporation, under the Inter-entity Services Agreement to deliver charitable programs and services on behalf of the nonprofit partner at fair market value;</w:t>
      </w:r>
    </w:p>
    <w:p>
      <w:pPr>
        <w:pStyle w:val="ListParagraph"/>
        <w:numPr>
          <w:ilvl w:val="0"/>
          <w:numId w:val="2"/>
        </w:numPr>
        <w:spacing w:after="100"/>
      </w:pPr>
      <w:r>
        <w:t xml:space="preserve">Develop, operate, and license the Human Asset Intelligence System (HAIS) — an AI-powered platform that matches community members to resources, benefits, employment, and services;</w:t>
      </w:r>
    </w:p>
    <w:p>
      <w:pPr>
        <w:pStyle w:val="ListParagraph"/>
        <w:numPr>
          <w:ilvl w:val="0"/>
          <w:numId w:val="2"/>
        </w:numPr>
        <w:spacing w:after="100"/>
      </w:pPr>
      <w:r>
        <w:t xml:space="preserve">Incubate, support, and invest in worker cooperatives and employee-owned businesses in Lane County;</w:t>
      </w:r>
    </w:p>
    <w:p>
      <w:pPr>
        <w:pStyle w:val="ListParagraph"/>
        <w:numPr>
          <w:ilvl w:val="0"/>
          <w:numId w:val="2"/>
        </w:numPr>
        <w:spacing w:after="100"/>
      </w:pPr>
      <w:r>
        <w:t xml:space="preserve">Develop and operate green energy enterprises, including solar installation, weatherization, and community energy programs;</w:t>
      </w:r>
    </w:p>
    <w:p>
      <w:pPr>
        <w:pStyle w:val="ListParagraph"/>
        <w:numPr>
          <w:ilvl w:val="0"/>
          <w:numId w:val="2"/>
        </w:numPr>
        <w:spacing w:after="100"/>
      </w:pPr>
      <w:r>
        <w:t xml:space="preserve">Issue Community Investment Notes (CINs) and other financial instruments to fund cooperative operations and mission-aligned community investment;</w:t>
      </w:r>
    </w:p>
    <w:p>
      <w:pPr>
        <w:pStyle w:val="ListParagraph"/>
        <w:numPr>
          <w:ilvl w:val="0"/>
          <w:numId w:val="2"/>
        </w:numPr>
        <w:spacing w:after="100"/>
      </w:pPr>
      <w:r>
        <w:t xml:space="preserve">Engage in any other lawful business activity consistent with Oregon cooperative law and the cooperative's mission of community economic development.</w:t>
      </w:r>
    </w:p>
    <w:p>
      <w:pPr>
        <w:spacing w:after="80"/>
      </w:pPr>
      <w:r>
        <w:t xml:space="preserve"/>
      </w:r>
    </w:p>
    <w:p>
      <w:pPr>
        <w:pStyle w:val="Heading2"/>
      </w:pPr>
      <w:r>
        <w:t xml:space="preserve">Section 3.3 — Anti-Extraction Principle</w:t>
      </w:r>
    </w:p>
    <w:p>
      <w:pPr>
        <w:spacing w:after="120"/>
      </w:pPr>
      <w:r>
        <w:t xml:space="preserve">The cooperative shall operate so that no individual, organization, or artificial intelligence system may extract value from the cooperative's operations for private benefit disproportionate to legitimate labor or capital contributions. This principle is embedded in the Human Asset Dividend formula and the cooperative's governance structure and shall be enforced by the Board of Directors and member assembly.</w:t>
      </w:r>
    </w:p>
    <w:p>
      <w:pPr>
        <w:spacing w:after="80"/>
      </w:pPr>
      <w:r>
        <w:t xml:space="preserve"/>
      </w:r>
    </w:p>
    <w:p>
      <w:pPr>
        <w:pStyle w:val="Heading1"/>
      </w:pPr>
      <w:r>
        <w:t xml:space="preserve">Article IV — Services and Products</w:t>
      </w:r>
    </w:p>
    <w:p>
      <w:pPr>
        <w:spacing w:after="120"/>
      </w:pPr>
      <w:r>
        <w:t xml:space="preserve">The cooperative is authorized to provide the following services and products in furtherance of its purposes. This Article is descriptive and not limiting — the Board of Directors may authorize additional services consistent with Article III by resolution.</w:t>
      </w:r>
    </w:p>
    <w:p>
      <w:pPr>
        <w:spacing w:after="80"/>
      </w:pPr>
      <w:r>
        <w:t xml:space="preserve"/>
      </w:r>
    </w:p>
    <w:p>
      <w:pPr>
        <w:pStyle w:val="Heading2"/>
      </w:pPr>
      <w:r>
        <w:t xml:space="preserve">Section 4.1 — Human Asset Intelligence System (HAIS) Services</w:t>
      </w:r>
    </w:p>
    <w:p>
      <w:pPr>
        <w:spacing w:after="120"/>
      </w:pPr>
      <w:r>
        <w:t xml:space="preserve">The cooperative develops, operates, and licenses the Human Asset Intelligence System, an AI-powered platform that constitutes the primary technology infrastructure of HAC-ES. HAIS services include:</w:t>
      </w:r>
    </w:p>
    <w:p>
      <w:pPr>
        <w:pStyle w:val="ListParagraph"/>
        <w:numPr>
          <w:ilvl w:val="0"/>
          <w:numId w:val="3"/>
        </w:numPr>
        <w:spacing w:after="80"/>
      </w:pPr>
      <w:r>
        <w:t xml:space="preserve">Platform operations — maintaining, improving, and administering the HAIS member database, resource matching engine, benefit identification module, and employment matching system for individual and organizational members;</w:t>
      </w:r>
    </w:p>
    <w:p>
      <w:pPr>
        <w:pStyle w:val="ListParagraph"/>
        <w:numPr>
          <w:ilvl w:val="0"/>
          <w:numId w:val="3"/>
        </w:numPr>
        <w:spacing w:after="80"/>
      </w:pPr>
      <w:r>
        <w:t xml:space="preserve">Platform licensing — licensing the HAIS platform and its component modules to other nonprofit organizations, government agencies, community development organizations, and institutions seeking AI-powered community resource matching capabilities, with fees structured to reflect the platform's fair market value;</w:t>
      </w:r>
    </w:p>
    <w:p>
      <w:pPr>
        <w:pStyle w:val="ListParagraph"/>
        <w:numPr>
          <w:ilvl w:val="0"/>
          <w:numId w:val="3"/>
        </w:numPr>
        <w:spacing w:after="80"/>
      </w:pPr>
      <w:r>
        <w:t xml:space="preserve">Data services — with member consent, producing anonymized, aggregated community economic data reports for Lane County government agencies, the University of Oregon, workforce development bodies, and policy researchers; and</w:t>
      </w:r>
    </w:p>
    <w:p>
      <w:pPr>
        <w:pStyle w:val="ListParagraph"/>
        <w:numPr>
          <w:ilvl w:val="0"/>
          <w:numId w:val="3"/>
        </w:numPr>
        <w:spacing w:after="80"/>
      </w:pPr>
      <w:r>
        <w:t xml:space="preserve">HAIS implementation consulting — providing technical assistance to organizations seeking to implement or adapt the HAIS model in their own communities.</w:t>
      </w:r>
    </w:p>
    <w:p>
      <w:pPr>
        <w:spacing w:after="80"/>
      </w:pPr>
      <w:r>
        <w:t xml:space="preserve"/>
      </w:r>
    </w:p>
    <w:p>
      <w:pPr>
        <w:pStyle w:val="Heading2"/>
      </w:pPr>
      <w:r>
        <w:t xml:space="preserve">Section 4.2 — Member Benefit Navigation Services</w:t>
      </w:r>
    </w:p>
    <w:p>
      <w:pPr>
        <w:spacing w:after="120"/>
      </w:pPr>
      <w:r>
        <w:t xml:space="preserve">The cooperative employs trained benefit navigators who provide the following services to individual members, organizational members, and the broader community:</w:t>
      </w:r>
    </w:p>
    <w:p>
      <w:pPr>
        <w:pStyle w:val="ListParagraph"/>
        <w:numPr>
          <w:ilvl w:val="0"/>
          <w:numId w:val="3"/>
        </w:numPr>
        <w:spacing w:after="80"/>
      </w:pPr>
      <w:r>
        <w:t xml:space="preserve">Identification and enrollment support for federal and state benefit programs including Oregon Health Plan (OHP/Medicaid), Supplemental Nutrition Assistance Program (SNAP), Temporary Assistance for Needy Families (TANF), Medicare Savings Programs (QMB, SLMB, QI), Extra Help/Low Income Subsidy for Medicare Part D, housing assistance programs, childcare subsidies, and property tax deferral;</w:t>
      </w:r>
    </w:p>
    <w:p>
      <w:pPr>
        <w:pStyle w:val="ListParagraph"/>
        <w:numPr>
          <w:ilvl w:val="0"/>
          <w:numId w:val="3"/>
        </w:numPr>
        <w:spacing w:after="80"/>
      </w:pPr>
      <w:r>
        <w:t xml:space="preserve">Application preparation, submission, and appeals support for all identified benefit programs;</w:t>
      </w:r>
    </w:p>
    <w:p>
      <w:pPr>
        <w:pStyle w:val="ListParagraph"/>
        <w:numPr>
          <w:ilvl w:val="0"/>
          <w:numId w:val="3"/>
        </w:numPr>
        <w:spacing w:after="80"/>
      </w:pPr>
      <w:r>
        <w:t xml:space="preserve">Annual renewal management to ensure enrolled members maintain continuous benefit coverage; and</w:t>
      </w:r>
    </w:p>
    <w:p>
      <w:pPr>
        <w:pStyle w:val="ListParagraph"/>
        <w:numPr>
          <w:ilvl w:val="0"/>
          <w:numId w:val="3"/>
        </w:numPr>
        <w:spacing w:after="80"/>
      </w:pPr>
      <w:r>
        <w:t xml:space="preserve">Benefits counseling for Social Security recipients, veterans, seniors, and individuals with disabilities regarding programs and entitlements to which they are legally entitled.</w:t>
      </w:r>
    </w:p>
    <w:p>
      <w:pPr>
        <w:spacing w:after="80"/>
      </w:pPr>
      <w:r>
        <w:t xml:space="preserve"/>
      </w:r>
    </w:p>
    <w:p>
      <w:pPr>
        <w:pStyle w:val="Heading2"/>
      </w:pPr>
      <w:r>
        <w:t xml:space="preserve">Section 4.3 — Employment and Workforce Development Services</w:t>
      </w:r>
    </w:p>
    <w:p>
      <w:pPr>
        <w:spacing w:after="120"/>
      </w:pPr>
      <w:r>
        <w:t xml:space="preserve">The cooperative delivers workforce development and employment services including:</w:t>
      </w:r>
    </w:p>
    <w:p>
      <w:pPr>
        <w:pStyle w:val="ListParagraph"/>
        <w:numPr>
          <w:ilvl w:val="0"/>
          <w:numId w:val="3"/>
        </w:numPr>
        <w:spacing w:after="80"/>
      </w:pPr>
      <w:r>
        <w:t xml:space="preserve">Priority employment matching — using HAIS to match member profiles against job openings within the Organizational Member network before public posting, providing first-access employment connections;</w:t>
      </w:r>
    </w:p>
    <w:p>
      <w:pPr>
        <w:pStyle w:val="ListParagraph"/>
        <w:numPr>
          <w:ilvl w:val="0"/>
          <w:numId w:val="3"/>
        </w:numPr>
        <w:spacing w:after="80"/>
      </w:pPr>
      <w:r>
        <w:t xml:space="preserve">Skills assessment and gap analysis — identifying skills gaps blocking members from their next wage step and developing individualized training plans;</w:t>
      </w:r>
    </w:p>
    <w:p>
      <w:pPr>
        <w:pStyle w:val="ListParagraph"/>
        <w:numPr>
          <w:ilvl w:val="0"/>
          <w:numId w:val="3"/>
        </w:numPr>
        <w:spacing w:after="80"/>
      </w:pPr>
      <w:r>
        <w:t xml:space="preserve">Paid training coordination — administering training grants and stipends from the Human Asset Fund, coordinating with Lane Community College, the University of Oregon, and approved training providers;</w:t>
      </w:r>
    </w:p>
    <w:p>
      <w:pPr>
        <w:pStyle w:val="ListParagraph"/>
        <w:numPr>
          <w:ilvl w:val="0"/>
          <w:numId w:val="3"/>
        </w:numPr>
        <w:spacing w:after="80"/>
      </w:pPr>
      <w:r>
        <w:t xml:space="preserve">Cooperative employment incubation — supporting the development of safety-net employment in worker-owned businesses when conventional employment is unavailable;</w:t>
      </w:r>
    </w:p>
    <w:p>
      <w:pPr>
        <w:pStyle w:val="ListParagraph"/>
        <w:numPr>
          <w:ilvl w:val="0"/>
          <w:numId w:val="3"/>
        </w:numPr>
        <w:spacing w:after="80"/>
      </w:pPr>
      <w:r>
        <w:t xml:space="preserve">Service credit administration — managing the time banking ledger that converts community service and care work into recognized economic contributions at $15/hour equivalency; and</w:t>
      </w:r>
    </w:p>
    <w:p>
      <w:pPr>
        <w:pStyle w:val="ListParagraph"/>
        <w:numPr>
          <w:ilvl w:val="0"/>
          <w:numId w:val="3"/>
        </w:numPr>
        <w:spacing w:after="80"/>
      </w:pPr>
      <w:r>
        <w:t xml:space="preserve">Labor market intelligence — providing Lane County employers, workforce agencies, and policymakers with HAIS-generated labor market analysis and workforce data.</w:t>
      </w:r>
    </w:p>
    <w:p>
      <w:pPr>
        <w:spacing w:after="80"/>
      </w:pPr>
      <w:r>
        <w:t xml:space="preserve"/>
      </w:r>
    </w:p>
    <w:p>
      <w:pPr>
        <w:pStyle w:val="Heading2"/>
      </w:pPr>
      <w:r>
        <w:t xml:space="preserve">Section 4.4 — Cooperative Business Incubation and Development Services</w:t>
      </w:r>
    </w:p>
    <w:p>
      <w:pPr>
        <w:spacing w:after="120"/>
      </w:pPr>
      <w:r>
        <w:t xml:space="preserve">The cooperative provides end-to-end support for worker cooperative formation and business conversion, including:</w:t>
      </w:r>
    </w:p>
    <w:p>
      <w:pPr>
        <w:pStyle w:val="ListParagraph"/>
        <w:numPr>
          <w:ilvl w:val="0"/>
          <w:numId w:val="3"/>
        </w:numPr>
        <w:spacing w:after="80"/>
      </w:pPr>
      <w:r>
        <w:t xml:space="preserve">Cooperative formation services — legal, financial, and operational consulting for new worker cooperative startups, including articles of incorporation, bylaw drafting, membership structure design, and initial capitalization;</w:t>
      </w:r>
    </w:p>
    <w:p>
      <w:pPr>
        <w:pStyle w:val="ListParagraph"/>
        <w:numPr>
          <w:ilvl w:val="0"/>
          <w:numId w:val="3"/>
        </w:numPr>
        <w:spacing w:after="80"/>
      </w:pPr>
      <w:r>
        <w:t xml:space="preserve">Business conversion services — supporting Lane County businesses facing ownership transitions to convert to worker cooperative or employee stock ownership plan (ESOP) structures, in coordination with the Oregon Employee Ownership Center;</w:t>
      </w:r>
    </w:p>
    <w:p>
      <w:pPr>
        <w:pStyle w:val="ListParagraph"/>
        <w:numPr>
          <w:ilvl w:val="0"/>
          <w:numId w:val="3"/>
        </w:numPr>
        <w:spacing w:after="80"/>
      </w:pPr>
      <w:r>
        <w:t xml:space="preserve">Incubator services — providing incubated cooperatives with shared administrative infrastructure, HAIS access, anchor customer relationships, and business development support through the cooperative's early operating phases;</w:t>
      </w:r>
    </w:p>
    <w:p>
      <w:pPr>
        <w:pStyle w:val="ListParagraph"/>
        <w:numPr>
          <w:ilvl w:val="0"/>
          <w:numId w:val="3"/>
        </w:numPr>
        <w:spacing w:after="80"/>
      </w:pPr>
      <w:r>
        <w:t xml:space="preserve">Success fee revenue — earning performance-based fees upon successful launch or conversion of incubated cooperative businesses; and</w:t>
      </w:r>
    </w:p>
    <w:p>
      <w:pPr>
        <w:pStyle w:val="ListParagraph"/>
        <w:numPr>
          <w:ilvl w:val="0"/>
          <w:numId w:val="3"/>
        </w:numPr>
        <w:spacing w:after="80"/>
      </w:pPr>
      <w:r>
        <w:t xml:space="preserve">Equity participation — holding equity stakes in incubated businesses where appropriate, with returns flowing to the cooperative's distributable pool.</w:t>
      </w:r>
    </w:p>
    <w:p>
      <w:pPr>
        <w:spacing w:after="80"/>
      </w:pPr>
      <w:r>
        <w:t xml:space="preserve"/>
      </w:r>
    </w:p>
    <w:p>
      <w:pPr>
        <w:pStyle w:val="Heading2"/>
      </w:pPr>
      <w:r>
        <w:t xml:space="preserve">Section 4.5 — Green Energy Services and Products</w:t>
      </w:r>
    </w:p>
    <w:p>
      <w:pPr>
        <w:spacing w:after="120"/>
      </w:pPr>
      <w:r>
        <w:t xml:space="preserve">The cooperative develops, owns, and operates green energy enterprises that generate revenue, create living-wage jobs for member-workers, and reduce energy costs for members:</w:t>
      </w:r>
    </w:p>
    <w:p>
      <w:pPr>
        <w:pStyle w:val="ListParagraph"/>
        <w:numPr>
          <w:ilvl w:val="0"/>
          <w:numId w:val="3"/>
        </w:numPr>
        <w:spacing w:after="80"/>
      </w:pPr>
      <w:r>
        <w:t xml:space="preserve">Solar installation and weatherization — operating a worker-owned solar installation and weatherization cooperative (or contracting with one) that installs solar panels and weatherization improvements for residential and commercial properties, with priority access for HAC-ES members;</w:t>
      </w:r>
    </w:p>
    <w:p>
      <w:pPr>
        <w:pStyle w:val="ListParagraph"/>
        <w:numPr>
          <w:ilvl w:val="0"/>
          <w:numId w:val="3"/>
        </w:numPr>
        <w:spacing w:after="80"/>
      </w:pPr>
      <w:r>
        <w:t xml:space="preserve">Community solar array — developing, owning, and operating a community solar project that provides monthly bill credits to member subscribers, generating subscription revenue for the cooperative;</w:t>
      </w:r>
    </w:p>
    <w:p>
      <w:pPr>
        <w:pStyle w:val="ListParagraph"/>
        <w:numPr>
          <w:ilvl w:val="0"/>
          <w:numId w:val="3"/>
        </w:numPr>
        <w:spacing w:after="80"/>
      </w:pPr>
      <w:r>
        <w:t xml:space="preserve">Green energy rebate navigation — identifying and applying for EWEB rebate programs, Oregon residential energy tax credits, and federal Inflation Reduction Act incentives on behalf of members, including IRA Section 6417 direct pay programs accessible to tax-exempt entities;</w:t>
      </w:r>
    </w:p>
    <w:p>
      <w:pPr>
        <w:pStyle w:val="ListParagraph"/>
        <w:numPr>
          <w:ilvl w:val="0"/>
          <w:numId w:val="3"/>
        </w:numPr>
        <w:spacing w:after="80"/>
      </w:pPr>
      <w:r>
        <w:t xml:space="preserve">Energy efficiency consulting — providing energy audits and efficiency consulting for residential and commercial property owners; and</w:t>
      </w:r>
    </w:p>
    <w:p>
      <w:pPr>
        <w:pStyle w:val="ListParagraph"/>
        <w:numPr>
          <w:ilvl w:val="0"/>
          <w:numId w:val="3"/>
        </w:numPr>
        <w:spacing w:after="80"/>
      </w:pPr>
      <w:r>
        <w:t xml:space="preserve">Rural and agricultural energy — developing small-scale wind and solar projects on rural CLT properties and Lane County farmland, generating electricity production revenue under applicable IRA Production Tax Credit provisions.</w:t>
      </w:r>
    </w:p>
    <w:p>
      <w:pPr>
        <w:spacing w:after="80"/>
      </w:pPr>
      <w:r>
        <w:t xml:space="preserve"/>
      </w:r>
    </w:p>
    <w:p>
      <w:pPr>
        <w:pStyle w:val="Heading2"/>
      </w:pPr>
      <w:r>
        <w:t xml:space="preserve">Section 4.6 — Financial Products and Instruments</w:t>
      </w:r>
    </w:p>
    <w:p>
      <w:pPr>
        <w:spacing w:after="120"/>
      </w:pPr>
      <w:r>
        <w:t xml:space="preserve">The cooperative issues and administers the following financial instruments in compliance with applicable state and federal securities laws:</w:t>
      </w:r>
    </w:p>
    <w:p>
      <w:pPr>
        <w:pStyle w:val="ListParagraph"/>
        <w:numPr>
          <w:ilvl w:val="0"/>
          <w:numId w:val="3"/>
        </w:numPr>
        <w:spacing w:after="80"/>
      </w:pPr>
      <w:r>
        <w:t xml:space="preserve">Community Investment Notes (CINs) — fixed-interest debt instruments issued to members and community investors at rates between 3% and 7% per annum, with proceeds deployed for cooperative capitalization, affordable housing development, cooperative business incubation, and green energy infrastructure. CINs shall be structured to comply with Oregon securities law exemptions and applicable SEC regulations;</w:t>
      </w:r>
    </w:p>
    <w:p>
      <w:pPr>
        <w:pStyle w:val="ListParagraph"/>
        <w:numPr>
          <w:ilvl w:val="0"/>
          <w:numId w:val="3"/>
        </w:numPr>
        <w:spacing w:after="80"/>
      </w:pPr>
      <w:r>
        <w:t xml:space="preserve">Member capital accounts — maintaining internal capital accounts for each member reflecting their initial share contribution, retained patronage allocations, and voluntary additional contributions, bearing interest at a rate determined annually by the Board; and</w:t>
      </w:r>
    </w:p>
    <w:p>
      <w:pPr>
        <w:pStyle w:val="ListParagraph"/>
        <w:numPr>
          <w:ilvl w:val="0"/>
          <w:numId w:val="3"/>
        </w:numPr>
        <w:spacing w:after="80"/>
      </w:pPr>
      <w:r>
        <w:t xml:space="preserve">Cooperative equity instruments — issuing equity interests in incubated cooperative businesses to community investors, structured as limited cooperative associations or comparable instruments under Oregon law.</w:t>
      </w:r>
    </w:p>
    <w:p>
      <w:pPr>
        <w:spacing w:after="80"/>
      </w:pPr>
      <w:r>
        <w:t xml:space="preserve"/>
      </w:r>
    </w:p>
    <w:p>
      <w:pPr>
        <w:pStyle w:val="Heading2"/>
      </w:pPr>
      <w:r>
        <w:t xml:space="preserve">Section 4.7 — Grant Writing and Fund Development Services</w:t>
      </w:r>
    </w:p>
    <w:p>
      <w:pPr>
        <w:spacing w:after="120"/>
      </w:pPr>
      <w:r>
        <w:t xml:space="preserve">The cooperative provides grant writing, fund development, and funding navigation services to organizational members and other community organizations:</w:t>
      </w:r>
    </w:p>
    <w:p>
      <w:pPr>
        <w:pStyle w:val="ListParagraph"/>
        <w:numPr>
          <w:ilvl w:val="0"/>
          <w:numId w:val="3"/>
        </w:numPr>
        <w:spacing w:after="80"/>
      </w:pPr>
      <w:r>
        <w:t xml:space="preserve">HAIS grant monitoring — continuously scanning federal, state, foundation, and corporate grant databases for funding opportunities relevant to Lane County nonprofits, worker cooperatives, community development organizations, and government agencies;</w:t>
      </w:r>
    </w:p>
    <w:p>
      <w:pPr>
        <w:pStyle w:val="ListParagraph"/>
        <w:numPr>
          <w:ilvl w:val="0"/>
          <w:numId w:val="3"/>
        </w:numPr>
        <w:spacing w:after="80"/>
      </w:pPr>
      <w:r>
        <w:t xml:space="preserve">Grant writing services — preparing and submitting grant applications on behalf of organizational members and other clients at fair market consulting rates; and</w:t>
      </w:r>
    </w:p>
    <w:p>
      <w:pPr>
        <w:pStyle w:val="ListParagraph"/>
        <w:numPr>
          <w:ilvl w:val="0"/>
          <w:numId w:val="3"/>
        </w:numPr>
        <w:spacing w:after="80"/>
      </w:pPr>
      <w:r>
        <w:t xml:space="preserve">Funding navigation consulting — advising organizations on funding strategy, grant compliance, and reporting requirements.</w:t>
      </w:r>
    </w:p>
    <w:p>
      <w:pPr>
        <w:spacing w:after="80"/>
      </w:pPr>
      <w:r>
        <w:t xml:space="preserve"/>
      </w:r>
    </w:p>
    <w:p>
      <w:pPr>
        <w:pStyle w:val="Heading2"/>
      </w:pPr>
      <w:r>
        <w:t xml:space="preserve">Section 4.8 — Community Land Trust and Housing Services</w:t>
      </w:r>
    </w:p>
    <w:p>
      <w:pPr>
        <w:spacing w:after="120"/>
      </w:pPr>
      <w:r>
        <w:t xml:space="preserve">In coordination with the nonprofit partner entity and established Community Land Trust organizations operating in Lane County, the cooperative provides:</w:t>
      </w:r>
    </w:p>
    <w:p>
      <w:pPr>
        <w:pStyle w:val="ListParagraph"/>
        <w:numPr>
          <w:ilvl w:val="0"/>
          <w:numId w:val="3"/>
        </w:numPr>
        <w:spacing w:after="80"/>
      </w:pPr>
      <w:r>
        <w:t xml:space="preserve">CLT member services — connecting members to permanently affordable CLT homeownership and rental opportunities offered by partner organizations including SquareOne Villages, DevNW, McKenzie Community Land Trust, and the Lane County Land Bank;</w:t>
      </w:r>
    </w:p>
    <w:p>
      <w:pPr>
        <w:pStyle w:val="ListParagraph"/>
        <w:numPr>
          <w:ilvl w:val="0"/>
          <w:numId w:val="3"/>
        </w:numPr>
        <w:spacing w:after="80"/>
      </w:pPr>
      <w:r>
        <w:t xml:space="preserve">Housing navigation services — providing members with housing stability resources, rental assistance identification, and emergency housing support; and</w:t>
      </w:r>
    </w:p>
    <w:p>
      <w:pPr>
        <w:pStyle w:val="ListParagraph"/>
        <w:numPr>
          <w:ilvl w:val="0"/>
          <w:numId w:val="3"/>
        </w:numPr>
        <w:spacing w:after="80"/>
      </w:pPr>
      <w:r>
        <w:t xml:space="preserve">CLT development support — providing operational and member engagement support for new CLT developments in which HAC-ES holds an organizational role.</w:t>
      </w:r>
    </w:p>
    <w:p>
      <w:pPr>
        <w:spacing w:after="80"/>
      </w:pPr>
      <w:r>
        <w:t xml:space="preserve"/>
      </w:r>
    </w:p>
    <w:p>
      <w:pPr>
        <w:pStyle w:val="Heading2"/>
      </w:pPr>
      <w:r>
        <w:t xml:space="preserve">Section 4.9 — Services Under the Inter-entity Services Agreement</w:t>
      </w:r>
    </w:p>
    <w:p>
      <w:pPr>
        <w:spacing w:after="120"/>
      </w:pPr>
      <w:r>
        <w:t xml:space="preserve">Pursuant to the Inter-entity Services Agreement with Human Asset Nonprofit, the cooperative provides the following services to the nonprofit partner at fair market value rates as specified in Exhibit A to that Agreement:</w:t>
      </w:r>
    </w:p>
    <w:p>
      <w:pPr>
        <w:pStyle w:val="ListParagraph"/>
        <w:numPr>
          <w:ilvl w:val="0"/>
          <w:numId w:val="3"/>
        </w:numPr>
        <w:spacing w:after="80"/>
      </w:pPr>
      <w:r>
        <w:t xml:space="preserve">All program delivery services described in Sections 4.2 through 4.8 above, when funded by grants or charitable contributions received by the nonprofit partner;</w:t>
      </w:r>
    </w:p>
    <w:p>
      <w:pPr>
        <w:pStyle w:val="ListParagraph"/>
        <w:numPr>
          <w:ilvl w:val="0"/>
          <w:numId w:val="3"/>
        </w:numPr>
        <w:spacing w:after="80"/>
      </w:pPr>
      <w:r>
        <w:t xml:space="preserve">Administrative and operational support services for the nonprofit entity's programs;</w:t>
      </w:r>
    </w:p>
    <w:p>
      <w:pPr>
        <w:pStyle w:val="ListParagraph"/>
        <w:numPr>
          <w:ilvl w:val="0"/>
          <w:numId w:val="3"/>
        </w:numPr>
        <w:spacing w:after="80"/>
      </w:pPr>
      <w:r>
        <w:t xml:space="preserve">Community outreach and member engagement services; and</w:t>
      </w:r>
    </w:p>
    <w:p>
      <w:pPr>
        <w:pStyle w:val="ListParagraph"/>
        <w:numPr>
          <w:ilvl w:val="0"/>
          <w:numId w:val="3"/>
        </w:numPr>
        <w:spacing w:after="80"/>
      </w:pPr>
      <w:r>
        <w:t xml:space="preserve">Such other services as the Parties may agree to in writing from time to time.</w:t>
      </w:r>
    </w:p>
    <w:p>
      <w:pPr>
        <w:spacing w:after="120"/>
      </w:pPr>
      <w:r>
        <w:t xml:space="preserve">All compensation under the Inter-entity Services Agreement shall reflect fair market value. The cooperative shall maintain documentation of the basis for fair market value determinations and make such documentation available to auditors and regulators upon request.</w:t>
      </w:r>
    </w:p>
    <w:p>
      <w:pPr>
        <w:spacing w:after="80"/>
      </w:pPr>
      <w:r>
        <w:t xml:space="preserve"/>
      </w:r>
    </w:p>
    <w:p>
      <w:pPr>
        <w:pStyle w:val="Heading1"/>
      </w:pPr>
      <w:r>
        <w:t xml:space="preserve">Article V — Members</w:t>
      </w:r>
    </w:p>
    <w:p>
      <w:pPr>
        <w:pStyle w:val="Heading2"/>
      </w:pPr>
      <w:r>
        <w:t xml:space="preserve">Section 5.1 — Eligibility and Non-Discrimination</w:t>
      </w:r>
    </w:p>
    <w:p>
      <w:pPr>
        <w:spacing w:after="120"/>
      </w:pPr>
      <w:r>
        <w:t xml:space="preserve">Membership in the cooperative is open to any individual who works for the cooperative and meets the qualifications set forth in the Bylaws. The cooperative shall not exclude any person from membership based on race, color, sex, gender identity, sexual orientation, religion, national origin, disability, age, or any other characteristic protected under applicable federal or Oregon law. Membership shall be open and voluntary, consistent with International Cooperative Alliance principles.</w:t>
      </w:r>
    </w:p>
    <w:p>
      <w:pPr>
        <w:spacing w:after="80"/>
      </w:pPr>
      <w:r>
        <w:t xml:space="preserve"/>
      </w:r>
    </w:p>
    <w:p>
      <w:pPr>
        <w:pStyle w:val="Heading2"/>
      </w:pPr>
      <w:r>
        <w:t xml:space="preserve">Section 5.2 — Founding Members</w:t>
      </w:r>
    </w:p>
    <w:p>
      <w:pPr>
        <w:spacing w:after="120"/>
      </w:pPr>
      <w:r>
        <w:t xml:space="preserve">Founding Members are those individuals admitted to membership on or before [FOUNDING DATE — recommended: one year from the date of filing]. Founding Members shall receive:</w:t>
      </w:r>
    </w:p>
    <w:p>
      <w:pPr>
        <w:pStyle w:val="ListParagraph"/>
        <w:numPr>
          <w:ilvl w:val="0"/>
          <w:numId w:val="2"/>
        </w:numPr>
        <w:spacing w:after="100"/>
      </w:pPr>
      <w:r>
        <w:t xml:space="preserve">Immediate vesting of all membership rights upon admission;</w:t>
      </w:r>
    </w:p>
    <w:p>
      <w:pPr>
        <w:pStyle w:val="ListParagraph"/>
        <w:numPr>
          <w:ilvl w:val="0"/>
          <w:numId w:val="2"/>
        </w:numPr>
        <w:spacing w:after="100"/>
      </w:pPr>
      <w:r>
        <w:t xml:space="preserve">A Founding Tenure Multiplier of 1.5 in the Human Asset Dividend formula for fiscal years one through three of cooperative operations;</w:t>
      </w:r>
    </w:p>
    <w:p>
      <w:pPr>
        <w:pStyle w:val="ListParagraph"/>
        <w:numPr>
          <w:ilvl w:val="0"/>
          <w:numId w:val="2"/>
        </w:numPr>
        <w:spacing w:after="100"/>
      </w:pPr>
      <w:r>
        <w:t xml:space="preserve">A Transition Multiplier of 1.2 in fiscal years four and beyond;</w:t>
      </w:r>
    </w:p>
    <w:p>
      <w:pPr>
        <w:pStyle w:val="ListParagraph"/>
        <w:numPr>
          <w:ilvl w:val="0"/>
          <w:numId w:val="2"/>
        </w:numPr>
        <w:spacing w:after="100"/>
      </w:pPr>
      <w:r>
        <w:t xml:space="preserve">An initial capital account credit in the amount determined by the Board to reflect each founding member's contribution to organizational formation; and</w:t>
      </w:r>
    </w:p>
    <w:p>
      <w:pPr>
        <w:pStyle w:val="ListParagraph"/>
        <w:numPr>
          <w:ilvl w:val="0"/>
          <w:numId w:val="2"/>
        </w:numPr>
        <w:spacing w:after="100"/>
      </w:pPr>
      <w:r>
        <w:t xml:space="preserve">Full voting rights from the date of admission.</w:t>
      </w:r>
    </w:p>
    <w:p>
      <w:pPr>
        <w:spacing w:after="80"/>
      </w:pPr>
      <w:r>
        <w:t xml:space="preserve"/>
      </w:r>
    </w:p>
    <w:p>
      <w:pPr>
        <w:pStyle w:val="Heading2"/>
      </w:pPr>
      <w:r>
        <w:t xml:space="preserve">Section 5.3 — Standard Members</w:t>
      </w:r>
    </w:p>
    <w:p>
      <w:pPr>
        <w:spacing w:after="120"/>
      </w:pPr>
      <w:r>
        <w:t xml:space="preserve">Individuals admitted after the Founding Member period shall become Standard Members upon completing a probationary period of not fewer than ninety (90) days, paying their membership share contribution, and receiving Board approval. Standard Members shall:</w:t>
      </w:r>
    </w:p>
    <w:p>
      <w:pPr>
        <w:pStyle w:val="ListParagraph"/>
        <w:numPr>
          <w:ilvl w:val="0"/>
          <w:numId w:val="2"/>
        </w:numPr>
        <w:spacing w:after="100"/>
      </w:pPr>
      <w:r>
        <w:t xml:space="preserve">Receive a Base Tenure Multiplier of 1.0 for fiscal years one through three of their membership;</w:t>
      </w:r>
    </w:p>
    <w:p>
      <w:pPr>
        <w:pStyle w:val="ListParagraph"/>
        <w:numPr>
          <w:ilvl w:val="0"/>
          <w:numId w:val="2"/>
        </w:numPr>
        <w:spacing w:after="100"/>
      </w:pPr>
      <w:r>
        <w:t xml:space="preserve">Transition to a Multiplier of 1.2 from their third year of active membership;</w:t>
      </w:r>
    </w:p>
    <w:p>
      <w:pPr>
        <w:pStyle w:val="ListParagraph"/>
        <w:numPr>
          <w:ilvl w:val="0"/>
          <w:numId w:val="2"/>
        </w:numPr>
        <w:spacing w:after="100"/>
      </w:pPr>
      <w:r>
        <w:t xml:space="preserve">Vest fully after twenty-four (24) months of active membership; and</w:t>
      </w:r>
    </w:p>
    <w:p>
      <w:pPr>
        <w:pStyle w:val="ListParagraph"/>
        <w:numPr>
          <w:ilvl w:val="0"/>
          <w:numId w:val="2"/>
        </w:numPr>
        <w:spacing w:after="100"/>
      </w:pPr>
      <w:r>
        <w:t xml:space="preserve">Receive a minimum floor dividend consistent with Section 9.3 of these Articles.</w:t>
      </w:r>
    </w:p>
    <w:p>
      <w:pPr>
        <w:spacing w:after="80"/>
      </w:pPr>
      <w:r>
        <w:t xml:space="preserve"/>
      </w:r>
    </w:p>
    <w:p>
      <w:pPr>
        <w:pStyle w:val="Heading2"/>
      </w:pPr>
      <w:r>
        <w:t xml:space="preserve">Section 5.4 — Classes of Membership</w:t>
      </w:r>
    </w:p>
    <w:p>
      <w:pPr>
        <w:spacing w:after="120"/>
      </w:pPr>
      <w:r>
        <w:t xml:space="preserve">All members constitute a single class of membership with equal voting rights on a one-member, one-vote basis. Distinctions between Founding Members and Standard Members are economic (relating to patronage multipliers and vesting) and do not affect voting rights.</w:t>
      </w:r>
    </w:p>
    <w:p>
      <w:pPr>
        <w:spacing w:after="80"/>
      </w:pPr>
      <w:r>
        <w:t xml:space="preserve"/>
      </w:r>
    </w:p>
    <w:p>
      <w:pPr>
        <w:pStyle w:val="Heading1"/>
      </w:pPr>
      <w:r>
        <w:t xml:space="preserve">Article VI — Capital Structure</w:t>
      </w:r>
    </w:p>
    <w:p>
      <w:pPr>
        <w:pStyle w:val="Heading2"/>
      </w:pPr>
      <w:r>
        <w:t xml:space="preserve">Section 6.1 — Membership Shares</w:t>
      </w:r>
    </w:p>
    <w:p>
      <w:pPr>
        <w:spacing w:after="120"/>
      </w:pPr>
      <w:r>
        <w:t xml:space="preserve">Each member shall hold one (1) membership share representing their membership interest in the cooperative. Membership shares are non-transferable except upon death or as otherwise provided in the Bylaws. The initial membership share contribution shall be set by the Board of Directors.</w:t>
      </w:r>
    </w:p>
    <w:p>
      <w:pPr>
        <w:spacing w:after="80"/>
      </w:pPr>
      <w:r>
        <w:t xml:space="preserve"/>
      </w:r>
    </w:p>
    <w:p>
      <w:pPr>
        <w:pStyle w:val="Heading2"/>
      </w:pPr>
      <w:r>
        <w:t xml:space="preserve">Section 6.2 — Member Capital Accounts</w:t>
      </w:r>
    </w:p>
    <w:p>
      <w:pPr>
        <w:spacing w:after="120"/>
      </w:pPr>
      <w:r>
        <w:t xml:space="preserve">The cooperative shall maintain an internal capital account for each member reflecting: (a) their initial share contribution; (b) patronage allocations retained by the cooperative rather than paid in cash; (c) any voluntary additional contributions; and (d) interest on capital account balances at a rate determined annually by the Board. Capital accounts shall be returned to departing members subject to the cooperative's financial capacity and the return schedule in the Bylaws.</w:t>
      </w:r>
    </w:p>
    <w:p>
      <w:pPr>
        <w:spacing w:after="80"/>
      </w:pPr>
      <w:r>
        <w:t xml:space="preserve"/>
      </w:r>
    </w:p>
    <w:p>
      <w:pPr>
        <w:pStyle w:val="Heading2"/>
      </w:pPr>
      <w:r>
        <w:t xml:space="preserve">Section 6.3 — Community Investment Notes</w:t>
      </w:r>
    </w:p>
    <w:p>
      <w:pPr>
        <w:spacing w:after="120"/>
      </w:pPr>
      <w:r>
        <w:t xml:space="preserve">The cooperative is authorized to issue Community Investment Notes (CINs) as described in Section 4.6. CINs are debt instruments, not equity, and CIN holders are creditors of the cooperative, not members. CIN issuance shall comply with all applicable securities laws.</w:t>
      </w:r>
    </w:p>
    <w:p>
      <w:pPr>
        <w:spacing w:after="80"/>
      </w:pPr>
      <w:r>
        <w:t xml:space="preserve"/>
      </w:r>
    </w:p>
    <w:p>
      <w:pPr>
        <w:pStyle w:val="Heading1"/>
      </w:pPr>
      <w:r>
        <w:t xml:space="preserve">Article VII — Board of Directors</w:t>
      </w:r>
    </w:p>
    <w:p>
      <w:pPr>
        <w:pStyle w:val="Heading2"/>
      </w:pPr>
      <w:r>
        <w:t xml:space="preserve">Section 7.1 — Composition and Member Control</w:t>
      </w:r>
    </w:p>
    <w:p>
      <w:pPr>
        <w:spacing w:after="120"/>
      </w:pPr>
      <w:r>
        <w:t xml:space="preserve">The Board of Directors shall consist of not fewer than three (3) nor more than nine (9) directors, all of whom must be active members of the cooperative. The cooperative shall be governed democratically — the Board is accountable to the member assembly and elected by members on a one-member, one-vote basis.</w:t>
      </w:r>
    </w:p>
    <w:p>
      <w:pPr>
        <w:spacing w:after="80"/>
      </w:pPr>
      <w:r>
        <w:t xml:space="preserve"/>
      </w:r>
    </w:p>
    <w:p>
      <w:pPr>
        <w:pStyle w:val="Heading2"/>
      </w:pPr>
      <w:r>
        <w:t xml:space="preserve">Section 7.2 — Terms and Elections</w:t>
      </w:r>
    </w:p>
    <w:p>
      <w:pPr>
        <w:spacing w:after="120"/>
      </w:pPr>
      <w:r>
        <w:t xml:space="preserve">Directors shall serve two-year staggered terms and may serve up to three (3) consecutive terms. Directors shall be elected at the annual member meeting.</w:t>
      </w:r>
    </w:p>
    <w:p>
      <w:pPr>
        <w:spacing w:after="80"/>
      </w:pPr>
      <w:r>
        <w:t xml:space="preserve"/>
      </w:r>
    </w:p>
    <w:p>
      <w:pPr>
        <w:pStyle w:val="Heading2"/>
      </w:pPr>
      <w:r>
        <w:t xml:space="preserve">Section 7.3 — Initial Board</w:t>
      </w:r>
    </w:p>
    <w:p>
      <w:pPr>
        <w:spacing w:after="120"/>
      </w:pPr>
      <w:r>
        <w:t xml:space="preserve">The names and addresses of the persons who are to serve as directors until the first annual meeting of members or until their successors are elected and qualified are:</w:t>
      </w:r>
    </w:p>
    <w:p>
      <w:pPr>
        <w:spacing w:after="80"/>
      </w:pPr>
      <w:r>
        <w:t xml:space="preserve"/>
      </w:r>
    </w:p>
    <w:p>
      <w:pPr>
        <w:spacing w:after="120"/>
      </w:pPr>
      <w:r>
        <w:t xml:space="preserve">[DIRECTOR 1 NAME]</w:t>
      </w:r>
    </w:p>
    <w:p>
      <w:pPr>
        <w:spacing w:after="120"/>
      </w:pPr>
      <w:r>
        <w:t xml:space="preserve">[ADDRESS], Eugene, Oregon [ZIP]</w:t>
      </w:r>
    </w:p>
    <w:p>
      <w:pPr>
        <w:spacing w:after="80"/>
      </w:pPr>
      <w:r>
        <w:t xml:space="preserve"/>
      </w:r>
    </w:p>
    <w:p>
      <w:pPr>
        <w:spacing w:after="120"/>
      </w:pPr>
      <w:r>
        <w:t xml:space="preserve">[DIRECTOR 2 NAME]</w:t>
      </w:r>
    </w:p>
    <w:p>
      <w:pPr>
        <w:spacing w:after="120"/>
      </w:pPr>
      <w:r>
        <w:t xml:space="preserve">[ADDRESS], Eugene, Oregon [ZIP]</w:t>
      </w:r>
    </w:p>
    <w:p>
      <w:pPr>
        <w:spacing w:after="80"/>
      </w:pPr>
      <w:r>
        <w:t xml:space="preserve"/>
      </w:r>
    </w:p>
    <w:p>
      <w:pPr>
        <w:spacing w:after="120"/>
      </w:pPr>
      <w:r>
        <w:t xml:space="preserve">[DIRECTOR 3 NAME]</w:t>
      </w:r>
    </w:p>
    <w:p>
      <w:pPr>
        <w:spacing w:after="120"/>
      </w:pPr>
      <w:r>
        <w:t xml:space="preserve">[ADDRESS], Eugene, Oregon [ZIP]</w:t>
      </w:r>
    </w:p>
    <w:p>
      <w:pPr>
        <w:spacing w:after="80"/>
      </w:pPr>
      <w:r>
        <w:t xml:space="preserve"/>
      </w:r>
    </w:p>
    <w:p>
      <w:pPr>
        <w:pStyle w:val="Heading2"/>
      </w:pPr>
      <w:r>
        <w:t xml:space="preserve">Section 7.4 — HAIS Governance</w:t>
      </w:r>
    </w:p>
    <w:p>
      <w:pPr>
        <w:spacing w:after="120"/>
      </w:pPr>
      <w:r>
        <w:t xml:space="preserve">The Board shall maintain democratic oversight of the Human Asset Intelligence System (HAIS). No autonomous AI decision that materially affects member rights, dividend distributions, or employment may be implemented without Board approval. The Board shall conduct an annual HAIS audit and publish findings to the full membership.</w:t>
      </w:r>
    </w:p>
    <w:p>
      <w:pPr>
        <w:spacing w:after="80"/>
      </w:pPr>
      <w:r>
        <w:t xml:space="preserve"/>
      </w:r>
    </w:p>
    <w:p>
      <w:pPr>
        <w:pStyle w:val="Heading1"/>
      </w:pPr>
      <w:r>
        <w:t xml:space="preserve">Article VIII — Officers</w:t>
      </w:r>
    </w:p>
    <w:p>
      <w:pPr>
        <w:spacing w:after="120"/>
      </w:pPr>
      <w:r>
        <w:t xml:space="preserve">The officers of the cooperative shall be a President, Vice-President, Secretary, and Treasurer, elected annually by the Board from among the members. Officers serve one-year terms. The Board may retain a non-member Executive Director to manage day-to-day operations; however, governance authority shall remain with the elected Board and member assembly.</w:t>
      </w:r>
    </w:p>
    <w:p>
      <w:pPr>
        <w:spacing w:after="80"/>
      </w:pPr>
      <w:r>
        <w:t xml:space="preserve"/>
      </w:r>
    </w:p>
    <w:p>
      <w:pPr>
        <w:pStyle w:val="Heading1"/>
      </w:pPr>
      <w:r>
        <w:t xml:space="preserve">Article IX — Human Asset Dividend (Patronage Distributions)</w:t>
      </w:r>
    </w:p>
    <w:p>
      <w:pPr>
        <w:pStyle w:val="Heading2"/>
      </w:pPr>
      <w:r>
        <w:t xml:space="preserve">Section 9.1 — Distributable Pool</w:t>
      </w:r>
    </w:p>
    <w:p>
      <w:pPr>
        <w:spacing w:after="120"/>
      </w:pPr>
      <w:r>
        <w:t xml:space="preserve">At the close of each fiscal year, the Board of Directors shall determine the Distributable Pool available for patronage distributions (Human Asset Dividends) as follows: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40"/>
        <w:gridCol w:w="6120"/>
      </w:tblGrid>
      <w:tr>
        <w:tc>
          <w:tcPr>
            <w:tcW w:type="dxa" w:w="3240"/>
            <w:tcBorders>
              <w:top w:val="single" w:color="CCCCCC" w:sz="1"/>
              <w:left w:val="single" w:color="CCCCCC" w:sz="1"/>
              <w:bottom w:val="single" w:color="CCCCCC" w:sz="1"/>
              <w:right w:val="single" w:color="CCCCCC" w:sz="1"/>
            </w:tcBorders>
            <w:shd w:fill="DCFCE7" w:val="clear"/>
            <w:tcMar>
              <w:top w:type="dxa" w:w="100"/>
              <w:left w:type="dxa" w:w="140"/>
              <w:bottom w:type="dxa" w:w="100"/>
              <w:right w:type="dxa" w:w="140"/>
            </w:tcMar>
          </w:tcPr>
          <w:p>
            <w:r>
              <w:rPr>
                <w:b/>
                <w:bCs/>
                <w:sz w:val="20"/>
                <w:szCs w:val="20"/>
              </w:rPr>
              <w:t xml:space="preserve">Component</w:t>
            </w:r>
          </w:p>
        </w:tc>
        <w:tc>
          <w:tcPr>
            <w:tcW w:type="dxa" w:w="6120"/>
            <w:tcBorders>
              <w:top w:val="single" w:color="CCCCCC" w:sz="1"/>
              <w:left w:val="single" w:color="CCCCCC" w:sz="1"/>
              <w:bottom w:val="single" w:color="CCCCCC" w:sz="1"/>
              <w:right w:val="single" w:color="CCCCCC" w:sz="1"/>
            </w:tcBorders>
            <w:shd w:fill="DCFCE7" w:val="clear"/>
            <w:tcMar>
              <w:top w:type="dxa" w:w="100"/>
              <w:left w:type="dxa" w:w="140"/>
              <w:bottom w:type="dxa" w:w="100"/>
              <w:right w:type="dxa" w:w="140"/>
            </w:tcMar>
          </w:tcPr>
          <w:p>
            <w:r>
              <w:rPr>
                <w:b/>
                <w:bCs/>
                <w:sz w:val="20"/>
                <w:szCs w:val="20"/>
              </w:rPr>
              <w:t xml:space="preserve">Description / Treatment</w:t>
            </w:r>
          </w:p>
        </w:tc>
      </w:tr>
      <w:tr>
        <w:tc>
          <w:tcPr>
            <w:tcW w:type="dxa" w:w="3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Total Net Revenue</w:t>
            </w:r>
          </w:p>
        </w:tc>
        <w:tc>
          <w:tcPr>
            <w:tcW w:type="dxa" w:w="6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All revenue from cooperative services, products, platform licensing, CIN interest income, incubation success fees, and Inter-entity Services Agreement compensation</w:t>
            </w:r>
          </w:p>
        </w:tc>
      </w:tr>
      <w:tr>
        <w:tc>
          <w:tcPr>
            <w:tcW w:type="dxa" w:w="3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Less: Operating Costs</w:t>
            </w:r>
          </w:p>
        </w:tc>
        <w:tc>
          <w:tcPr>
            <w:tcW w:type="dxa" w:w="6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Employee wages and benefits, HAIS operating costs, office and technology expenses, CIN interest payments to investors, professional services — approximately 55% of revenue in Year 1, declining as scale increases</w:t>
            </w:r>
          </w:p>
        </w:tc>
      </w:tr>
      <w:tr>
        <w:tc>
          <w:tcPr>
            <w:tcW w:type="dxa" w:w="3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Less: Required Reserve</w:t>
            </w:r>
          </w:p>
        </w:tc>
        <w:tc>
          <w:tcPr>
            <w:tcW w:type="dxa" w:w="6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Minimum 15% of net revenue, held until the Reserve equals three (3) months of operating expenses. Board may reduce Reserve contribution by resolution once the floor is reached</w:t>
            </w:r>
          </w:p>
        </w:tc>
      </w:tr>
      <w:tr>
        <w:tc>
          <w:tcPr>
            <w:tcW w:type="dxa" w:w="3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 Distributable Pool</w:t>
            </w:r>
          </w:p>
        </w:tc>
        <w:tc>
          <w:tcPr>
            <w:tcW w:type="dxa" w:w="61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b w:val="false"/>
                <w:bCs w:val="false"/>
                <w:sz w:val="22"/>
                <w:szCs w:val="22"/>
              </w:rPr>
              <w:t xml:space="preserve">Amount available for Human Asset Dividend distributions — approximately 30% of revenue at target operating efficiency</w:t>
            </w:r>
          </w:p>
        </w:tc>
      </w:tr>
    </w:tbl>
    <w:p>
      <w:pPr>
        <w:spacing w:after="80"/>
      </w:pPr>
      <w:r>
        <w:t xml:space="preserve"/>
      </w:r>
    </w:p>
    <w:p>
      <w:pPr>
        <w:pStyle w:val="Heading2"/>
      </w:pPr>
      <w:r>
        <w:t xml:space="preserve">Section 9.2 — Patronage Unit Calculation</w:t>
      </w:r>
    </w:p>
    <w:p>
      <w:pPr>
        <w:spacing w:after="120"/>
      </w:pPr>
      <w:r>
        <w:t xml:space="preserve">Each active member's Patronage Units for a fiscal year shall be calculated as:</w:t>
      </w:r>
    </w:p>
    <w:p>
      <w:pPr>
        <w:spacing w:after="80"/>
      </w:pPr>
      <w:r>
        <w:t xml:space="preserve"/>
      </w:r>
    </w:p>
    <w:p>
      <w:pPr>
        <w:pBdr>
          <w:left w:val="single" w:color="16a34a" w:sz="8"/>
        </w:pBdr>
        <w:shd w:fill="F0FDF4" w:val="clear"/>
        <w:spacing w:after="120" w:before="120"/>
        <w:ind w:left="360"/>
      </w:pPr>
      <w:r>
        <w:rPr>
          <w:b/>
          <w:bCs/>
          <w:color w:val="166534"/>
          <w:sz w:val="24"/>
          <w:szCs w:val="24"/>
        </w:rPr>
        <w:t xml:space="preserve">Patronage Units = Labor Hours × Role Multiplier × Tenure Multiplier</w:t>
      </w:r>
    </w:p>
    <w:p>
      <w:pPr>
        <w:spacing w:after="80"/>
      </w:pPr>
      <w:r>
        <w:t xml:space="preserve"/>
      </w:r>
    </w:p>
    <w:p>
      <w:pPr>
        <w:spacing w:after="120"/>
      </w:pPr>
      <w:r>
        <w:t xml:space="preserve">Where:</w:t>
      </w:r>
    </w:p>
    <w:p>
      <w:pPr>
        <w:pStyle w:val="ListParagraph"/>
        <w:numPr>
          <w:ilvl w:val="0"/>
          <w:numId w:val="3"/>
        </w:numPr>
        <w:spacing w:after="80"/>
      </w:pPr>
      <w:r>
        <w:t xml:space="preserve">Labor Hours means actual hours of labor contributed to the cooperative during the fiscal year, recorded in the HAIS timekeeper system;</w:t>
      </w:r>
    </w:p>
    <w:p>
      <w:pPr>
        <w:pStyle w:val="ListParagraph"/>
        <w:numPr>
          <w:ilvl w:val="0"/>
          <w:numId w:val="3"/>
        </w:numPr>
        <w:spacing w:after="80"/>
      </w:pPr>
      <w:r>
        <w:t xml:space="preserve">Role Multiplier means a factor between 1.0 and 2.0 assigned by the Board based on skill level and responsibilities, as specified in the Member Handbook and reviewed annually. Indicative ranges: Entry/Support = 1.0; Skilled/Technical = 1.3; Expert/Senior = 1.6; Board/Executive = 2.0; and</w:t>
      </w:r>
    </w:p>
    <w:p>
      <w:pPr>
        <w:pStyle w:val="ListParagraph"/>
        <w:numPr>
          <w:ilvl w:val="0"/>
          <w:numId w:val="3"/>
        </w:numPr>
        <w:spacing w:after="80"/>
      </w:pPr>
      <w:r>
        <w:t xml:space="preserve">Tenure Multiplier means: 1.5 for Founding Members during fiscal years one through three of cooperative operations; 1.2 for all members from fiscal year four onward; and 1.0 for Standard Members during their first three years of membership.</w:t>
      </w:r>
    </w:p>
    <w:p>
      <w:pPr>
        <w:spacing w:after="80"/>
      </w:pPr>
      <w:r>
        <w:t xml:space="preserve"/>
      </w:r>
    </w:p>
    <w:p>
      <w:pPr>
        <w:pStyle w:val="Heading2"/>
      </w:pPr>
      <w:r>
        <w:t xml:space="preserve">Section 9.3 — Individual Dividend and Minimum Floor</w:t>
      </w:r>
    </w:p>
    <w:p>
      <w:pPr>
        <w:spacing w:after="120"/>
      </w:pPr>
      <w:r>
        <w:t xml:space="preserve">Each member's Human Asset Dividend shall equal:</w:t>
      </w:r>
    </w:p>
    <w:p>
      <w:pPr>
        <w:spacing w:after="80"/>
      </w:pPr>
      <w:r>
        <w:t xml:space="preserve"/>
      </w:r>
    </w:p>
    <w:p>
      <w:pPr>
        <w:pBdr>
          <w:left w:val="single" w:color="16a34a" w:sz="8"/>
        </w:pBdr>
        <w:shd w:fill="F0FDF4" w:val="clear"/>
        <w:spacing w:after="120" w:before="120"/>
        <w:ind w:left="360"/>
      </w:pPr>
      <w:r>
        <w:rPr>
          <w:b/>
          <w:bCs/>
          <w:color w:val="166534"/>
          <w:sz w:val="24"/>
          <w:szCs w:val="24"/>
        </w:rPr>
        <w:t xml:space="preserve">Individual Dividend = (Member's Patronage Units ÷ Total Patronage Units of All Members) × Distributable Pool</w:t>
      </w:r>
    </w:p>
    <w:p>
      <w:pPr>
        <w:spacing w:after="80"/>
      </w:pPr>
      <w:r>
        <w:t xml:space="preserve"/>
      </w:r>
    </w:p>
    <w:p>
      <w:pPr>
        <w:spacing w:after="120"/>
      </w:pPr>
      <w:r>
        <w:t xml:space="preserve">Minimum Floor: Any active member who has completed the probationary period and contributed at least [MINIMUM HOURS — e.g., 100] hours of labor during a fiscal year in which a Distributable Pool exists shall receive a minimum dividend not less than [MINIMUM FLOOR AMOUNT] regardless of their proportionate patronage unit calculation. This provision ensures that no contributing member is excluded from the cooperative's economic benefits.</w:t>
      </w:r>
    </w:p>
    <w:p>
      <w:pPr>
        <w:spacing w:after="80"/>
      </w:pPr>
      <w:r>
        <w:t xml:space="preserve"/>
      </w:r>
    </w:p>
    <w:p>
      <w:pPr>
        <w:pStyle w:val="Heading2"/>
      </w:pPr>
      <w:r>
        <w:t xml:space="preserve">Section 9.4 — Payment and Retention</w:t>
      </w:r>
    </w:p>
    <w:p>
      <w:pPr>
        <w:spacing w:after="120"/>
      </w:pPr>
      <w:r>
        <w:t xml:space="preserve">Within ninety (90) days of the close of each fiscal year, the Board shall determine each member's Human Asset Dividend. A minimum of twenty percent (20%) of each member's dividend shall be paid in cash within thirty (30) days of determination, consistent with Subchapter T of the Internal Revenue Code. The remaining portion may be allocated to the member's capital account as a written notice of allocation.</w:t>
      </w:r>
    </w:p>
    <w:p>
      <w:pPr>
        <w:spacing w:after="80"/>
      </w:pPr>
      <w:r>
        <w:t xml:space="preserve"/>
      </w:r>
    </w:p>
    <w:p>
      <w:pPr>
        <w:pStyle w:val="Heading2"/>
      </w:pPr>
      <w:r>
        <w:t xml:space="preserve">Section 9.5 — Tax Treatment</w:t>
      </w:r>
    </w:p>
    <w:p>
      <w:pPr>
        <w:spacing w:after="120"/>
      </w:pPr>
      <w:r>
        <w:t xml:space="preserve">Patronage dividends shall be treated in accordance with Subchapter T of the Internal Revenue Code. The cooperative shall provide each member a written notice of allocation for all patronage income within the time required by law. Members are responsible for their own federal and state tax obligations with respect to patronage income. The cooperative shall provide each member an annual IRS Form 1099-PATR or equivalent documentation.</w:t>
      </w:r>
    </w:p>
    <w:p>
      <w:pPr>
        <w:spacing w:after="80"/>
      </w:pPr>
      <w:r>
        <w:t xml:space="preserve"/>
      </w:r>
    </w:p>
    <w:p>
      <w:pPr>
        <w:pStyle w:val="Heading1"/>
      </w:pPr>
      <w:r>
        <w:t xml:space="preserve">Article X — Relationship with Nonprofit Partner</w:t>
      </w:r>
    </w:p>
    <w:p>
      <w:pPr>
        <w:spacing w:after="120"/>
      </w:pPr>
      <w:r>
        <w:t xml:space="preserve">The cooperative is authorized to enter into and maintain an Inter-entity Services Agreement with Human Asset Nonprofit, a 501(c)(3) nonprofit corporation. Such agreement shall:</w:t>
      </w:r>
    </w:p>
    <w:p>
      <w:pPr>
        <w:pStyle w:val="ListParagraph"/>
        <w:numPr>
          <w:ilvl w:val="0"/>
          <w:numId w:val="2"/>
        </w:numPr>
        <w:spacing w:after="100"/>
      </w:pPr>
      <w:r>
        <w:t xml:space="preserve">Reflect fair market value for all services exchanged in both directions;</w:t>
      </w:r>
    </w:p>
    <w:p>
      <w:pPr>
        <w:pStyle w:val="ListParagraph"/>
        <w:numPr>
          <w:ilvl w:val="0"/>
          <w:numId w:val="2"/>
        </w:numPr>
        <w:spacing w:after="100"/>
      </w:pPr>
      <w:r>
        <w:t xml:space="preserve">Preserve the complete legal, financial, and governance independence of both entities;</w:t>
      </w:r>
    </w:p>
    <w:p>
      <w:pPr>
        <w:pStyle w:val="ListParagraph"/>
        <w:numPr>
          <w:ilvl w:val="0"/>
          <w:numId w:val="2"/>
        </w:numPr>
        <w:spacing w:after="100"/>
      </w:pPr>
      <w:r>
        <w:t xml:space="preserve">Be approved by a majority of the Board of Directors;</w:t>
      </w:r>
    </w:p>
    <w:p>
      <w:pPr>
        <w:pStyle w:val="ListParagraph"/>
        <w:numPr>
          <w:ilvl w:val="0"/>
          <w:numId w:val="2"/>
        </w:numPr>
        <w:spacing w:after="100"/>
      </w:pPr>
      <w:r>
        <w:t xml:space="preserve">Be reviewed and renewed annually;</w:t>
      </w:r>
    </w:p>
    <w:p>
      <w:pPr>
        <w:pStyle w:val="ListParagraph"/>
        <w:numPr>
          <w:ilvl w:val="0"/>
          <w:numId w:val="2"/>
        </w:numPr>
        <w:spacing w:after="100"/>
      </w:pPr>
      <w:r>
        <w:t xml:space="preserve">Not create any arrangement that would jeopardize the nonprofit partner's tax-exempt status or the cooperative's ORS Chapter 62 status;</w:t>
      </w:r>
    </w:p>
    <w:p>
      <w:pPr>
        <w:pStyle w:val="ListParagraph"/>
        <w:numPr>
          <w:ilvl w:val="0"/>
          <w:numId w:val="2"/>
        </w:numPr>
        <w:spacing w:after="100"/>
      </w:pPr>
      <w:r>
        <w:t xml:space="preserve">Include conflict of interest provisions governing individuals who serve in governance roles in both entities; and</w:t>
      </w:r>
    </w:p>
    <w:p>
      <w:pPr>
        <w:pStyle w:val="ListParagraph"/>
        <w:numPr>
          <w:ilvl w:val="0"/>
          <w:numId w:val="2"/>
        </w:numPr>
        <w:spacing w:after="100"/>
      </w:pPr>
      <w:r>
        <w:t xml:space="preserve">Be made available to all members upon request.</w:t>
      </w:r>
    </w:p>
    <w:p>
      <w:pPr>
        <w:spacing w:after="80"/>
      </w:pPr>
      <w:r>
        <w:t xml:space="preserve"/>
      </w:r>
    </w:p>
    <w:p>
      <w:pPr>
        <w:spacing w:after="120"/>
      </w:pPr>
      <w:r>
        <w:t xml:space="preserve">The cooperative shall not become financially dependent on a single revenue source. The Board of Directors shall monitor revenue concentration and ensure that Inter-entity Services Agreement revenue does not exceed [PERCENTAGE, e.g., 70%] of total cooperative revenue on a sustained basis, to preserve the cooperative's operational independence.</w:t>
      </w:r>
    </w:p>
    <w:p>
      <w:pPr>
        <w:spacing w:after="80"/>
      </w:pPr>
      <w:r>
        <w:t xml:space="preserve"/>
      </w:r>
    </w:p>
    <w:p>
      <w:pPr>
        <w:pStyle w:val="Heading1"/>
      </w:pPr>
      <w:r>
        <w:t xml:space="preserve">Article XI — Dissolution</w:t>
      </w:r>
    </w:p>
    <w:p>
      <w:pPr>
        <w:spacing w:after="120"/>
      </w:pPr>
      <w:r>
        <w:t xml:space="preserve">Upon dissolution of the cooperative, the Board of Directors shall, after paying or making provision for payment of all liabilities, return member capital account balances to members in proportion to their account balances, and distribute any remaining assets to Human Asset Nonprofit or, if that entity no longer exists, to another Oregon nonprofit organization with a substantially similar mission, as determined by the Board. No distribution shall be made to any individual other than as a return of capital. This Article shall be enforced by the Oregon Attorney General pursuant to ORS Chapter 62.</w:t>
      </w:r>
    </w:p>
    <w:p>
      <w:pPr>
        <w:spacing w:after="80"/>
      </w:pPr>
      <w:r>
        <w:t xml:space="preserve"/>
      </w:r>
    </w:p>
    <w:p>
      <w:pPr>
        <w:pStyle w:val="Heading1"/>
      </w:pPr>
      <w:r>
        <w:t xml:space="preserve">Article XII — Incorporator</w:t>
      </w:r>
    </w:p>
    <w:p>
      <w:pPr>
        <w:spacing w:after="120"/>
      </w:pPr>
      <w:r>
        <w:t xml:space="preserve">The name and address of the incorporator of this corporation is:</w:t>
      </w:r>
    </w:p>
    <w:p>
      <w:pPr>
        <w:spacing w:after="80"/>
      </w:pPr>
      <w:r>
        <w:t xml:space="preserve"/>
      </w:r>
    </w:p>
    <w:p>
      <w:pPr>
        <w:spacing w:after="120"/>
      </w:pPr>
      <w:r>
        <w:t xml:space="preserve">[INCORPORATOR NAME]</w:t>
      </w:r>
    </w:p>
    <w:p>
      <w:pPr>
        <w:spacing w:after="120"/>
      </w:pPr>
      <w:r>
        <w:t xml:space="preserve">[ADDRESS], Eugene, Oregon [ZIP]</w:t>
      </w:r>
    </w:p>
    <w:p>
      <w:pPr>
        <w:spacing w:after="80"/>
      </w:pPr>
      <w:r>
        <w:t xml:space="preserve"/>
      </w:r>
    </w:p>
    <w:p>
      <w:pPr>
        <w:spacing w:after="80"/>
      </w:pPr>
      <w:r>
        <w:t xml:space="preserve"/>
      </w:r>
    </w:p>
    <w:p>
      <w:pPr>
        <w:spacing w:after="80"/>
      </w:pPr>
      <w:r>
        <w:t xml:space="preserve"/>
      </w:r>
    </w:p>
    <w:p>
      <w:pPr>
        <w:spacing w:after="120"/>
      </w:pPr>
      <w:r>
        <w:t xml:space="preserve">IN WITNESS WHEREOF, the incorporator has executed these Articles of Incorporation.</w:t>
      </w:r>
    </w:p>
    <w:p>
      <w:pPr>
        <w:spacing w:after="80"/>
      </w:pPr>
      <w:r>
        <w:t xml:space="preserve"/>
      </w:r>
    </w:p>
    <w:p>
      <w:pPr>
        <w:spacing w:after="80"/>
      </w:pPr>
      <w:r>
        <w:t xml:space="preserve"/>
      </w:r>
    </w:p>
    <w:p>
      <w:pPr>
        <w:spacing w:after="120"/>
      </w:pPr>
      <w:r>
        <w:t xml:space="preserve">_________________________________          Date: _______________</w:t>
      </w:r>
    </w:p>
    <w:p>
      <w:pPr>
        <w:spacing w:after="120"/>
      </w:pPr>
      <w:r>
        <w:t xml:space="preserve">[INCORPORATOR NAME], Incorporator</w:t>
      </w:r>
    </w:p>
    <w:p>
      <w:pPr>
        <w:spacing w:after="80"/>
      </w:pPr>
      <w:r>
        <w:t xml:space="preserve"/>
      </w:r>
    </w:p>
    <w:p>
      <w:pPr>
        <w:pBdr>
          <w:bottom w:val="single" w:color="e5e7eb" w:sz="4" w:space="1"/>
        </w:pBdr>
        <w:spacing w:after="160" w:before="160"/>
      </w:pPr>
      <w:r>
        <w:t xml:space="preserve"/>
      </w:r>
    </w:p>
    <w:p>
      <w:pPr>
        <w:pStyle w:val="Heading1"/>
      </w:pPr>
      <w:r>
        <w:t xml:space="preserve">Filing Notes and Next Steps</w:t>
      </w:r>
    </w:p>
    <w:p>
      <w:pPr>
        <w:spacing w:after="120"/>
      </w:pPr>
      <w:r>
        <w:rPr>
          <w:i/>
          <w:iCs/>
          <w:color w:val="555555"/>
        </w:rPr>
        <w:t xml:space="preserve">These notes are for internal guidance only and have no legal effect.</w:t>
      </w:r>
    </w:p>
    <w:p>
      <w:pPr>
        <w:spacing w:after="80"/>
      </w:pPr>
      <w:r>
        <w:t xml:space="preserve"/>
      </w:r>
    </w:p>
    <w:p>
      <w:pPr>
        <w:spacing w:after="120"/>
      </w:pPr>
      <w:r>
        <w:rPr>
          <w:b/>
          <w:bCs/>
        </w:rPr>
        <w:t xml:space="preserve">Recommended Next Steps:</w:t>
      </w:r>
    </w:p>
    <w:p>
      <w:pPr>
        <w:pStyle w:val="ListParagraph"/>
        <w:numPr>
          <w:ilvl w:val="0"/>
          <w:numId w:val="2"/>
        </w:numPr>
        <w:spacing w:after="100"/>
      </w:pPr>
      <w:r>
        <w:t xml:space="preserve">Engage an Oregon cooperative attorney — strongly recommended before filing. The UO Business Law Clinic (free) and Center for Nonprofit Law in Eugene can assist. Oregon Cooperative Development Center (oregoncooperatives.coop) maintains referrals.</w:t>
      </w:r>
    </w:p>
    <w:p>
      <w:pPr>
        <w:pStyle w:val="ListParagraph"/>
        <w:numPr>
          <w:ilvl w:val="0"/>
          <w:numId w:val="2"/>
        </w:numPr>
        <w:spacing w:after="100"/>
      </w:pPr>
      <w:r>
        <w:t xml:space="preserve">Complete all bracketed fields — including organization name confirmation, founding date, registered agent, initial director names, minimum hours threshold, and floor dividend amount.</w:t>
      </w:r>
    </w:p>
    <w:p>
      <w:pPr>
        <w:pStyle w:val="ListParagraph"/>
        <w:numPr>
          <w:ilvl w:val="0"/>
          <w:numId w:val="2"/>
        </w:numPr>
        <w:spacing w:after="100"/>
      </w:pPr>
      <w:r>
        <w:t xml:space="preserve">File with the Oregon Secretary of State, Corporations Division — current filing fee and forms at sos.oregon.gov. ORS Chapter 62 governs cooperative corporations.</w:t>
      </w:r>
    </w:p>
    <w:p>
      <w:pPr>
        <w:pStyle w:val="ListParagraph"/>
        <w:numPr>
          <w:ilvl w:val="0"/>
          <w:numId w:val="2"/>
        </w:numPr>
        <w:spacing w:after="100"/>
      </w:pPr>
      <w:r>
        <w:t xml:space="preserve">Adopt Bylaws — the Bylaws of Human Asset Cooperative of Eugene-Springfield (companion document) govern internal operations and contain the complete operational detail for the Human Asset Dividend formula, membership procedures, and HAIS governance.</w:t>
      </w:r>
    </w:p>
    <w:p>
      <w:pPr>
        <w:pStyle w:val="ListParagraph"/>
        <w:numPr>
          <w:ilvl w:val="0"/>
          <w:numId w:val="2"/>
        </w:numPr>
        <w:spacing w:after="100"/>
      </w:pPr>
      <w:r>
        <w:t xml:space="preserve">Execute the Inter-entity Services Agreement — with Human Asset Nonprofit immediately upon formation of both entities.</w:t>
      </w:r>
    </w:p>
    <w:p>
      <w:pPr>
        <w:pStyle w:val="ListParagraph"/>
        <w:numPr>
          <w:ilvl w:val="0"/>
          <w:numId w:val="2"/>
        </w:numPr>
        <w:spacing w:after="100"/>
      </w:pPr>
      <w:r>
        <w:t xml:space="preserve">File for nonprofit partner's 501(c)(3) status — the cooperative itself does not seek 501(c)(3) status. The nonprofit partner entity files IRS Form 1023.</w:t>
      </w:r>
    </w:p>
    <w:p>
      <w:pPr>
        <w:pStyle w:val="ListParagraph"/>
        <w:numPr>
          <w:ilvl w:val="0"/>
          <w:numId w:val="2"/>
        </w:numPr>
        <w:spacing w:after="100"/>
      </w:pPr>
      <w:r>
        <w:t xml:space="preserve">Register Community Investment Notes — consult Oregon Division of Financial Regulation regarding securities law compliance before issuing CINs.</w:t>
      </w:r>
    </w:p>
    <w:p>
      <w:pPr>
        <w:pStyle w:val="ListParagraph"/>
        <w:numPr>
          <w:ilvl w:val="0"/>
          <w:numId w:val="2"/>
        </w:numPr>
        <w:spacing w:after="100"/>
      </w:pPr>
      <w:r>
        <w:t xml:space="preserve">Obtain required business licenses — Oregon Business Registry, Lane County business license, and any professional licenses required for specific service lines (energy contractor, financial services).</w:t>
      </w:r>
    </w:p>
    <w:p>
      <w:pPr>
        <w:spacing w:after="80"/>
      </w:pPr>
      <w:r>
        <w:t xml:space="preserve"/>
      </w:r>
    </w:p>
    <w:p>
      <w:pPr>
        <w:pBdr>
          <w:left w:val="single" w:color="D97706" w:sz="8"/>
        </w:pBdr>
        <w:shd w:fill="FEF3C7" w:val="clear"/>
        <w:spacing w:after="120" w:before="120"/>
        <w:ind w:left="360"/>
      </w:pPr>
      <w:r>
        <w:rPr>
          <w:color w:val="92400E"/>
          <w:sz w:val="20"/>
          <w:szCs w:val="20"/>
        </w:rPr>
        <w:t xml:space="preserve">Important: These articles describe the cooperative's authorized activities broadly. Not all services and products described in Article IV need be offered at launch. The Board of Directors determines which services to activate at each phase of growth. Phase 1 services (HAIS operations, benefit navigation, employment matching) can be launched with minimal capital. Phase 2–4 services (green energy, CINs, incubation, CLT) require additional capital and regulatory compliance steps described in the Growth Path &amp; Fund Sustainability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4"/>
      </w:pBdr>
      <w:jc w:val="center"/>
    </w:pPr>
    <w:r>
      <w:rPr>
        <w:color w:val="888888"/>
        <w:sz w:val="18"/>
        <w:szCs w:val="18"/>
      </w:rPr>
      <w:t xml:space="preserve">DRAFT — For Attorney Review Only — Not for Filing   |   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a34a" w:sz="5" w:space="4"/>
      </w:pBdr>
      <w:spacing w:after="0"/>
    </w:pPr>
    <w:r>
      <w:rPr>
        <w:b/>
        <w:bCs/>
        <w:color w:val="1e3a5f"/>
        <w:sz w:val="18"/>
        <w:szCs w:val="18"/>
      </w:rPr>
      <w:t xml:space="preserve">HUMAN ASSET COOPERATIVE OF EUGENE-SPRINGFIELD</w:t>
    </w:r>
    <w:r>
      <w:rPr>
        <w:color w:val="888888"/>
        <w:sz w:val="16"/>
        <w:szCs w:val="16"/>
      </w:rPr>
      <w:t xml:space="preserve">   |   Articles of Incorporation — Worker Cooperative Corporation   |   ORS Chapter 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e3a5f"/>
      <w:sz w:val="30"/>
      <w:szCs w:val="30"/>
    </w:rPr>
  </w:style>
  <w:style w:type="paragraph" w:styleId="Heading2">
    <w:name w:val="Heading 2"/>
    <w:basedOn w:val="Normal"/>
    <w:next w:val="Normal"/>
    <w:qFormat/>
    <w:pPr>
      <w:spacing w:after="80" w:before="220"/>
      <w:outlineLvl w:val="1"/>
    </w:pPr>
    <w:rPr>
      <w:rFonts w:ascii="Arial" w:cs="Arial" w:eastAsia="Arial" w:hAnsi="Arial"/>
      <w:b/>
      <w:bCs/>
      <w:color w:val="16a34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2026-06-06T00:34:46.873Z</dcterms:created>
  <dcterms:modified xsi:type="dcterms:W3CDTF">2026-06-06T00:34:46.873Z</dcterms:modified>
</cp:coreProperties>
</file>

<file path=docProps/custom.xml><?xml version="1.0" encoding="utf-8"?>
<Properties xmlns="http://schemas.openxmlformats.org/officeDocument/2006/custom-properties" xmlns:vt="http://schemas.openxmlformats.org/officeDocument/2006/docPropsVTypes"/>
</file>