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Pr>
    </w:p>
    <w:p>
      <w:pPr>
        <w:spacing w:before="80" w:after="80"/>
        <w:jc w:val="center"/>
      </w:pPr>
      <w:r>
        <w:rPr>
          <w:rFonts w:ascii="Arial" w:hAnsi="Arial"/>
          <w:b/>
          <w:color w:val="1F4E79"/>
          <w:sz w:val="44"/>
        </w:rPr>
        <w:t>HUMAN ASSET COOPERATIVE</w:t>
      </w:r>
    </w:p>
    <w:p>
      <w:pPr>
        <w:spacing w:before="80" w:after="80"/>
        <w:jc w:val="center"/>
      </w:pPr>
      <w:r>
        <w:rPr>
          <w:rFonts w:ascii="Arial" w:hAnsi="Arial"/>
          <w:b w:val="0"/>
          <w:color w:val="2E75B6"/>
          <w:sz w:val="26"/>
        </w:rPr>
        <w:t>of Eugene-Springfield</w:t>
      </w:r>
    </w:p>
    <w:p>
      <w:pPr>
        <w:pStyle w:val="Normal"/>
        <w:rPr>
          <w:b/>
          <w:color w:val="7c3aed"/>
        </w:rPr>
      </w:pPr>
      <w:r>
        <w:rPr>
          <w:b/>
          <w:color w:val="7c3aed"/>
        </w:rPr>
        <w:t>ENTITY STRUCTURE (2026):  HAC-ES now operates as a hybrid nonprofit-cooperative organization. The 501(c)(3) nonprofit entity manages charitable programs, grants, and tax-exempt fundraising. The worker cooperative entity manages operations and distributes Human Asset Dividends to members annually. An Inter-entity Services Agreement governs collaboration between the two entities.</w:t>
      </w:r>
    </w:p>
    <w:p>
      <w:pPr>
        <w:spacing w:after="40"/>
      </w:pPr>
    </w:p>
    <w:p>
      <w:pPr>
        <w:spacing w:before="80" w:after="80"/>
        <w:jc w:val="center"/>
        <w:pBdr>
          <w:top w:val="single" w:sz="12" w:space="2" w:color="2E75B6"/>
          <w:bottom w:val="single" w:sz="12" w:space="2" w:color="2E75B6"/>
        </w:pBdr>
      </w:pPr>
      <w:r>
        <w:rPr>
          <w:rFonts w:ascii="Arial" w:hAnsi="Arial"/>
          <w:b/>
          <w:color w:val="1F4E79"/>
          <w:sz w:val="32"/>
        </w:rPr>
        <w:t>COMMUNITY LAND TRUST LANDSCAPE</w:t>
      </w:r>
    </w:p>
    <w:p>
      <w:pPr>
        <w:spacing w:before="80" w:after="80"/>
        <w:jc w:val="center"/>
      </w:pPr>
      <w:r>
        <w:rPr>
          <w:rFonts w:ascii="Arial" w:hAnsi="Arial"/>
          <w:b w:val="0"/>
          <w:color w:val="404040"/>
          <w:sz w:val="24"/>
        </w:rPr>
        <w:t>Eugene-Springfield and Lane County</w:t>
      </w:r>
    </w:p>
    <w:p>
      <w:pPr>
        <w:spacing w:before="80" w:after="80"/>
        <w:jc w:val="center"/>
      </w:pPr>
      <w:r>
        <w:rPr>
          <w:rFonts w:ascii="Arial" w:hAnsi="Arial"/>
          <w:b w:val="0"/>
          <w:color w:val="595959"/>
          <w:sz w:val="22"/>
        </w:rPr>
        <w:t>Research Summary and Strategic Options for HAC-ES</w:t>
      </w:r>
    </w:p>
    <w:p>
      <w:pPr>
        <w:spacing w:after="40"/>
      </w:pPr>
    </w:p>
    <w:p>
      <w:pPr>
        <w:spacing w:after="320"/>
      </w:pPr>
      <w:r>
        <w:rPr>
          <w:rFonts w:ascii="Arial" w:hAnsi="Arial"/>
          <w:sz w:val="21"/>
        </w:rPr>
        <w:t>Community land trusts (CLTs) hold land permanently in community ownership while allowing residents to own the homes built on them — keeping housing affordable across generations. This document surveys the CLT landscape in Eugene-Springfield and Lane County and outlines the strategic options available to HAC-ES for participating in or building this infrastructure.</w:t>
      </w:r>
    </w:p>
    <w:p>
      <w:pPr>
        <w:pStyle w:val="Heading1"/>
        <w:pBdr>
          <w:bottom w:val="single" w:sz="8" w:space="2" w:color="2E75B6"/>
        </w:pBdr>
      </w:pPr>
      <w:r>
        <w:t>Existing CLT Organizations Operating in the Area</w:t>
      </w:r>
    </w:p>
    <w:tbl>
      <w:tblPr>
        <w:tblStyle w:val="TableGrid"/>
        <w:tblW w:type="auto" w:w="0"/>
        <w:tblLook w:firstColumn="1" w:firstRow="1" w:lastColumn="0" w:lastRow="0" w:noHBand="0" w:noVBand="1" w:val="04A0"/>
        <w:tblW w:w="8640" w:type="dxa"/>
      </w:tblPr>
      <w:tblGrid>
        <w:gridCol w:w="9000"/>
      </w:tblGrid>
      <w:tr>
        <w:tc>
          <w:tcPr>
            <w:tcW w:type="dxa" w:w="9000"/>
            <w:tcBorders>
              <w:top w:val="single" w:sz="4" w:color="D5E8F0"/>
              <w:bottom w:val="single" w:sz="4" w:color="D5E8F0"/>
              <w:left w:val="single" w:sz="4" w:color="D5E8F0"/>
              <w:right w:val="single" w:sz="4" w:color="D5E8F0"/>
            </w:tcBorders>
            <w:shd w:val="clear" w:color="auto" w:fill="E6F0FA"/>
          </w:tcPr>
          <w:p>
            <w:pPr>
              <w:spacing w:after="80"/>
            </w:pPr>
            <w:r>
              <w:rPr>
                <w:rFonts w:ascii="Arial" w:hAnsi="Arial"/>
                <w:b/>
                <w:color w:val="1F4E79"/>
                <w:sz w:val="22"/>
              </w:rPr>
              <w:t xml:space="preserve">SquareOne Villages </w:t>
            </w:r>
            <w:r>
              <w:rPr>
                <w:rFonts w:ascii="Arial" w:hAnsi="Arial"/>
                <w:sz w:val="21"/>
              </w:rPr>
              <w:t xml:space="preserve">— </w:t>
            </w:r>
            <w:r>
              <w:rPr>
                <w:rFonts w:ascii="Arial" w:hAnsi="Arial"/>
                <w:b/>
                <w:color w:val="0D7A5A"/>
                <w:sz w:val="21"/>
              </w:rPr>
              <w:t>Most active local CLT developer</w:t>
            </w:r>
          </w:p>
        </w:tc>
      </w:tr>
    </w:tbl>
    <w:p>
      <w:pPr>
        <w:spacing w:after="240"/>
        <w:ind w:left="144"/>
      </w:pPr>
      <w:r>
        <w:rPr>
          <w:rFonts w:ascii="Arial" w:hAnsi="Arial"/>
          <w:sz w:val="21"/>
        </w:rPr>
        <w:t>The most active CLT developer in Eugene, using a land trust + limited equity cooperative model. Three projects: Peace Village (70 units, completed 2024, River Road); Rosa Village (52 units under construction, $700–$850/month, due end of 2026); and OUR Village (44 units planned at 255 Maxwell Road, 80% AMI). Their model — land held permanently, homes owned by residents — is the closest local analog to what HAC-ES would build.</w:t>
      </w:r>
    </w:p>
    <w:tbl>
      <w:tblPr>
        <w:tblStyle w:val="TableGrid"/>
        <w:tblW w:type="auto" w:w="0"/>
        <w:tblLook w:firstColumn="1" w:firstRow="1" w:lastColumn="0" w:lastRow="0" w:noHBand="0" w:noVBand="1" w:val="04A0"/>
        <w:tblW w:w="8640" w:type="dxa"/>
      </w:tblPr>
      <w:tblGrid>
        <w:gridCol w:w="9000"/>
      </w:tblGrid>
      <w:tr>
        <w:tc>
          <w:tcPr>
            <w:tcW w:type="dxa" w:w="9000"/>
            <w:tcBorders>
              <w:top w:val="single" w:sz="4" w:color="D5E8F0"/>
              <w:bottom w:val="single" w:sz="4" w:color="D5E8F0"/>
              <w:left w:val="single" w:sz="4" w:color="D5E8F0"/>
              <w:right w:val="single" w:sz="4" w:color="D5E8F0"/>
            </w:tcBorders>
            <w:shd w:val="clear" w:color="auto" w:fill="E6F0FA"/>
          </w:tcPr>
          <w:p>
            <w:pPr>
              <w:spacing w:after="80"/>
            </w:pPr>
            <w:r>
              <w:rPr>
                <w:rFonts w:ascii="Arial" w:hAnsi="Arial"/>
                <w:b/>
                <w:color w:val="1F4E79"/>
                <w:sz w:val="22"/>
              </w:rPr>
              <w:t xml:space="preserve">DevNW </w:t>
            </w:r>
            <w:r>
              <w:rPr>
                <w:rFonts w:ascii="Arial" w:hAnsi="Arial"/>
                <w:sz w:val="21"/>
              </w:rPr>
              <w:t xml:space="preserve">— </w:t>
            </w:r>
            <w:r>
              <w:rPr>
                <w:rFonts w:ascii="Arial" w:hAnsi="Arial"/>
                <w:b/>
                <w:color w:val="2E75B6"/>
                <w:sz w:val="21"/>
              </w:rPr>
              <w:t>Active CLT homeownership pipeline</w:t>
            </w:r>
          </w:p>
        </w:tc>
      </w:tr>
    </w:tbl>
    <w:p>
      <w:pPr>
        <w:spacing w:after="240"/>
        <w:ind w:left="144"/>
      </w:pPr>
      <w:r>
        <w:rPr>
          <w:rFonts w:ascii="Arial" w:hAnsi="Arial"/>
          <w:sz w:val="21"/>
        </w:rPr>
        <w:t>Runs a CLT homeownership program with 31 CLT homes at Nelson Place in Eugene. Springfield just approved 6 affordable townhomes at 367 S. 52nd St (~$230,000 each) with more in the pipeline.</w:t>
      </w:r>
    </w:p>
    <w:tbl>
      <w:tblPr>
        <w:tblStyle w:val="TableGrid"/>
        <w:tblW w:type="auto" w:w="0"/>
        <w:tblLook w:firstColumn="1" w:firstRow="1" w:lastColumn="0" w:lastRow="0" w:noHBand="0" w:noVBand="1" w:val="04A0"/>
        <w:tblW w:w="8640" w:type="dxa"/>
      </w:tblPr>
      <w:tblGrid>
        <w:gridCol w:w="9000"/>
      </w:tblGrid>
      <w:tr>
        <w:tc>
          <w:tcPr>
            <w:tcW w:type="dxa" w:w="9000"/>
            <w:tcBorders>
              <w:top w:val="single" w:sz="4" w:color="D5E8F0"/>
              <w:bottom w:val="single" w:sz="4" w:color="D5E8F0"/>
              <w:left w:val="single" w:sz="4" w:color="D5E8F0"/>
              <w:right w:val="single" w:sz="4" w:color="D5E8F0"/>
            </w:tcBorders>
            <w:shd w:val="clear" w:color="auto" w:fill="E6F0FA"/>
          </w:tcPr>
          <w:p>
            <w:pPr>
              <w:spacing w:after="80"/>
            </w:pPr>
            <w:r>
              <w:rPr>
                <w:rFonts w:ascii="Arial" w:hAnsi="Arial"/>
                <w:b/>
                <w:color w:val="1F4E79"/>
                <w:sz w:val="22"/>
              </w:rPr>
              <w:t xml:space="preserve">McKenzie Community Land Trust </w:t>
            </w:r>
            <w:r>
              <w:rPr>
                <w:rFonts w:ascii="Arial" w:hAnsi="Arial"/>
                <w:sz w:val="21"/>
              </w:rPr>
              <w:t xml:space="preserve">— </w:t>
            </w:r>
            <w:r>
              <w:rPr>
                <w:rFonts w:ascii="Arial" w:hAnsi="Arial"/>
                <w:b/>
                <w:color w:val="6A390A"/>
                <w:sz w:val="21"/>
              </w:rPr>
              <w:t>Fire recovery focus · McKenzie Valley</w:t>
            </w:r>
          </w:p>
        </w:tc>
      </w:tr>
    </w:tbl>
    <w:p>
      <w:pPr>
        <w:spacing w:after="240"/>
        <w:ind w:left="144"/>
      </w:pPr>
      <w:r>
        <w:rPr>
          <w:rFonts w:ascii="Arial" w:hAnsi="Arial"/>
          <w:sz w:val="21"/>
        </w:rPr>
        <w:t>Focused on fire recovery in the McKenzie River Valley. Their Rose Street Neighborhood in Blue River just completed 6 homes (December 2025, $250K–$275K, 80% AMI, fire survivor priority) with two more neighborhoods planned.</w:t>
      </w:r>
    </w:p>
    <w:tbl>
      <w:tblPr>
        <w:tblStyle w:val="TableGrid"/>
        <w:tblW w:type="auto" w:w="0"/>
        <w:tblLook w:firstColumn="1" w:firstRow="1" w:lastColumn="0" w:lastRow="0" w:noHBand="0" w:noVBand="1" w:val="04A0"/>
        <w:tblW w:w="8640" w:type="dxa"/>
      </w:tblPr>
      <w:tblGrid>
        <w:gridCol w:w="9000"/>
      </w:tblGrid>
      <w:tr>
        <w:tc>
          <w:tcPr>
            <w:tcW w:type="dxa" w:w="9000"/>
            <w:tcBorders>
              <w:top w:val="single" w:sz="4" w:color="D5E8F0"/>
              <w:bottom w:val="single" w:sz="4" w:color="D5E8F0"/>
              <w:left w:val="single" w:sz="4" w:color="D5E8F0"/>
              <w:right w:val="single" w:sz="4" w:color="D5E8F0"/>
            </w:tcBorders>
            <w:shd w:val="clear" w:color="auto" w:fill="E6F0FA"/>
          </w:tcPr>
          <w:p>
            <w:pPr>
              <w:spacing w:after="80"/>
            </w:pPr>
            <w:r>
              <w:rPr>
                <w:rFonts w:ascii="Arial" w:hAnsi="Arial"/>
                <w:b/>
                <w:color w:val="1F4E79"/>
                <w:sz w:val="22"/>
              </w:rPr>
              <w:t xml:space="preserve">City of Eugene Land Acquisition Program </w:t>
            </w:r>
            <w:r>
              <w:rPr>
                <w:rFonts w:ascii="Arial" w:hAnsi="Arial"/>
                <w:sz w:val="21"/>
              </w:rPr>
              <w:t xml:space="preserve">— </w:t>
            </w:r>
            <w:r>
              <w:rPr>
                <w:rFonts w:ascii="Arial" w:hAnsi="Arial"/>
                <w:b/>
                <w:color w:val="1F4E79"/>
                <w:sz w:val="21"/>
              </w:rPr>
              <w:t>Active since 1979 · Parcels available now</w:t>
            </w:r>
          </w:p>
        </w:tc>
      </w:tr>
    </w:tbl>
    <w:p>
      <w:pPr>
        <w:spacing w:after="240"/>
        <w:ind w:left="144"/>
      </w:pPr>
      <w:r>
        <w:rPr>
          <w:rFonts w:ascii="Arial" w:hAnsi="Arial"/>
          <w:sz w:val="21"/>
        </w:rPr>
        <w:t>Running since 1979 — 92+ acres acquired, 963 affordable units created. Current available sites include 0.89 acres at 1091 Coburg Road (in RFP process) and 0.76 acres on Hilyard Street (33rd–34th Ave). In FY25, three parcels were identified including a 1.8-acre shelter/housing site.</w:t>
      </w:r>
    </w:p>
    <w:tbl>
      <w:tblPr>
        <w:tblStyle w:val="TableGrid"/>
        <w:tblW w:type="auto" w:w="0"/>
        <w:tblLook w:firstColumn="1" w:firstRow="1" w:lastColumn="0" w:lastRow="0" w:noHBand="0" w:noVBand="1" w:val="04A0"/>
        <w:tblW w:w="8640" w:type="dxa"/>
      </w:tblPr>
      <w:tblGrid>
        <w:gridCol w:w="9000"/>
      </w:tblGrid>
      <w:tr>
        <w:tc>
          <w:tcPr>
            <w:tcW w:type="dxa" w:w="9000"/>
            <w:tcBorders>
              <w:top w:val="single" w:sz="4" w:color="D5E8F0"/>
              <w:bottom w:val="single" w:sz="4" w:color="D5E8F0"/>
              <w:left w:val="single" w:sz="4" w:color="D5E8F0"/>
              <w:right w:val="single" w:sz="4" w:color="D5E8F0"/>
            </w:tcBorders>
            <w:shd w:val="clear" w:color="auto" w:fill="E6F0FA"/>
          </w:tcPr>
          <w:p>
            <w:pPr>
              <w:spacing w:after="80"/>
            </w:pPr>
            <w:r>
              <w:rPr>
                <w:rFonts w:ascii="Arial" w:hAnsi="Arial"/>
                <w:b/>
                <w:color w:val="1F4E79"/>
                <w:sz w:val="22"/>
              </w:rPr>
              <w:t xml:space="preserve">Lane County Land Bank </w:t>
            </w:r>
            <w:r>
              <w:rPr>
                <w:rFonts w:ascii="Arial" w:hAnsi="Arial"/>
                <w:sz w:val="21"/>
              </w:rPr>
              <w:t xml:space="preserve">— </w:t>
            </w:r>
            <w:r>
              <w:rPr>
                <w:rFonts w:ascii="Arial" w:hAnsi="Arial"/>
                <w:b/>
                <w:color w:val="074D3A"/>
                <w:sz w:val="21"/>
              </w:rPr>
              <w:t>New · Most promising HAC-ES opportunity</w:t>
            </w:r>
          </w:p>
        </w:tc>
      </w:tr>
    </w:tbl>
    <w:p>
      <w:pPr>
        <w:spacing w:after="240"/>
        <w:ind w:left="144"/>
      </w:pPr>
      <w:r>
        <w:rPr>
          <w:rFonts w:ascii="Arial" w:hAnsi="Arial"/>
          <w:sz w:val="21"/>
        </w:rPr>
        <w:t>Brand new — $2M seed fund approved, task force established in 2025, still in program design. No specific parcels available yet. This is the most promising partnership opportunity for HAC-ES since the county is actively looking for mission-aligned development partners.</w:t>
      </w:r>
    </w:p>
    <w:p>
      <w:pPr>
        <w:pStyle w:val="Heading1"/>
        <w:pBdr>
          <w:bottom w:val="single" w:sz="8" w:space="2" w:color="2E75B6"/>
        </w:pBdr>
      </w:pPr>
      <w:r>
        <w:t>The Honest Picture for HAC-ES</w:t>
      </w:r>
    </w:p>
    <w:p>
      <w:pPr>
        <w:spacing w:after="160"/>
        <w:pBdr>
          <w:left w:val="single" w:sz="18" w:space="8" w:color="2E75B6"/>
        </w:pBdr>
        <w:ind w:left="288"/>
      </w:pPr>
      <w:r>
        <w:rPr>
          <w:rFonts w:ascii="Arial" w:hAnsi="Arial"/>
          <w:i/>
          <w:sz w:val="21"/>
        </w:rPr>
        <w:t>There is no existing HAC-ES CLT — one would need to be established as a subsidiary, or HAC-ES would need to partner with an existing organization. These are not barriers. They are design choices.</w:t>
      </w:r>
    </w:p>
    <w:p>
      <w:pPr>
        <w:spacing w:after="40"/>
      </w:pPr>
    </w:p>
    <w:p>
      <w:pPr>
        <w:spacing w:after="160"/>
      </w:pPr>
      <w:r>
        <w:rPr>
          <w:rFonts w:ascii="Arial" w:hAnsi="Arial"/>
          <w:b w:val="0"/>
          <w:i w:val="0"/>
          <w:sz w:val="21"/>
        </w:rPr>
        <w:t>The strategic options available to HAC-ES are not mutually exclusive. The most effective path likely combines elements of all four:</w:t>
      </w:r>
    </w:p>
    <w:p>
      <w:pPr>
        <w:pStyle w:val="Heading1"/>
        <w:pBdr>
          <w:bottom w:val="single" w:sz="8" w:space="2" w:color="2E75B6"/>
        </w:pBdr>
      </w:pPr>
      <w:r>
        <w:t>Strategic Options</w:t>
      </w:r>
    </w:p>
    <w:tbl>
      <w:tblPr>
        <w:tblStyle w:val="TableGrid"/>
        <w:tblW w:type="auto" w:w="0"/>
        <w:jc w:val="left"/>
        <w:tblLook w:firstColumn="1" w:firstRow="1" w:lastColumn="0" w:lastRow="0" w:noHBand="0" w:noVBand="1" w:val="04A0"/>
        <w:tblW w:w="8640" w:type="dxa"/>
      </w:tblPr>
      <w:tblGrid>
        <w:gridCol w:w="4500"/>
        <w:gridCol w:w="4500"/>
      </w:tblGrid>
      <w:tr>
        <w:tc>
          <w:tcPr>
            <w:tcW w:type="dxa" w:w="4500"/>
            <w:shd w:val="clear" w:color="auto" w:fill="1F4E79"/>
            <w:tcBorders>
              <w:top w:val="single" w:sz="4" w:color="1F4E79"/>
              <w:bottom w:val="single" w:sz="4" w:color="1F4E79"/>
              <w:left w:val="single" w:sz="4" w:color="1F4E79"/>
              <w:right w:val="single" w:sz="4" w:color="1F4E79"/>
            </w:tcBorders>
            <w:tcW w:w="3600" w:type="dxa"/>
          </w:tcPr>
          <w:p>
            <w:pPr>
              <w:spacing w:after="0"/>
            </w:pPr>
            <w:r>
              <w:rPr>
                <w:rFonts w:ascii="Arial" w:hAnsi="Arial"/>
                <w:b/>
                <w:color w:val="FFFFFF"/>
                <w:sz w:val="20"/>
              </w:rPr>
              <w:t>Strategic option</w:t>
            </w:r>
          </w:p>
        </w:tc>
        <w:tc>
          <w:tcPr>
            <w:tcW w:type="dxa" w:w="4500"/>
            <w:shd w:val="clear" w:color="auto" w:fill="1F4E79"/>
            <w:tcBorders>
              <w:top w:val="single" w:sz="4" w:color="1F4E79"/>
              <w:bottom w:val="single" w:sz="4" w:color="1F4E79"/>
              <w:left w:val="single" w:sz="4" w:color="1F4E79"/>
              <w:right w:val="single" w:sz="4" w:color="1F4E79"/>
            </w:tcBorders>
            <w:tcW w:w="7920" w:type="dxa"/>
          </w:tcPr>
          <w:p>
            <w:pPr>
              <w:spacing w:after="0"/>
            </w:pPr>
            <w:r>
              <w:rPr>
                <w:rFonts w:ascii="Arial" w:hAnsi="Arial"/>
                <w:b/>
                <w:color w:val="FFFFFF"/>
                <w:sz w:val="20"/>
              </w:rPr>
              <w:t>Detail</w:t>
            </w:r>
          </w:p>
        </w:tc>
      </w:tr>
      <w:tr>
        <w:tc>
          <w:tcPr>
            <w:tcW w:type="dxa" w:w="4500"/>
            <w:shd w:val="clear" w:color="auto" w:fill="EBF3FB"/>
            <w:tcBorders>
              <w:top w:val="single" w:sz="4" w:color="CCCCCC"/>
              <w:bottom w:val="single" w:sz="4" w:color="CCCCCC"/>
              <w:left w:val="single" w:sz="4" w:color="CCCCCC"/>
              <w:right w:val="single" w:sz="4" w:color="CCCCCC"/>
            </w:tcBorders>
            <w:tcW w:w="3600" w:type="dxa"/>
          </w:tcPr>
          <w:p>
            <w:pPr>
              <w:spacing w:after="0"/>
            </w:pPr>
            <w:r>
              <w:rPr>
                <w:rFonts w:ascii="Arial" w:hAnsi="Arial"/>
                <w:b/>
                <w:color w:val="1F4E79"/>
                <w:sz w:val="20"/>
              </w:rPr>
              <w:t>Partner with SquareOne</w:t>
            </w:r>
          </w:p>
        </w:tc>
        <w:tc>
          <w:tcPr>
            <w:tcW w:type="dxa" w:w="4500"/>
            <w:shd w:val="clear" w:color="auto" w:fill="FFFFFF"/>
            <w:tcBorders>
              <w:top w:val="single" w:sz="4" w:color="CCCCCC"/>
              <w:bottom w:val="single" w:sz="4" w:color="CCCCCC"/>
              <w:left w:val="single" w:sz="4" w:color="CCCCCC"/>
              <w:right w:val="single" w:sz="4" w:color="CCCCCC"/>
            </w:tcBorders>
            <w:tcW w:w="7920" w:type="dxa"/>
          </w:tcPr>
          <w:p>
            <w:pPr>
              <w:spacing w:after="0"/>
            </w:pPr>
            <w:r>
              <w:rPr>
                <w:rFonts w:ascii="Arial" w:hAnsi="Arial"/>
                <w:b w:val="0"/>
                <w:sz w:val="20"/>
              </w:rPr>
              <w:t>Join as an Organizational Member and co-developer. SquareOne has the track record, the legal infrastructure, and the land trust model already in operation — the closest existing analog to what HAC-ES would build. Lowest barrier to entry; fastest path to housing.</w:t>
            </w:r>
          </w:p>
        </w:tc>
      </w:tr>
      <w:tr>
        <w:tc>
          <w:tcPr>
            <w:tcW w:type="dxa" w:w="4500"/>
            <w:shd w:val="clear" w:color="auto" w:fill="F5F5F5"/>
            <w:tcBorders>
              <w:top w:val="single" w:sz="4" w:color="CCCCCC"/>
              <w:bottom w:val="single" w:sz="4" w:color="CCCCCC"/>
              <w:left w:val="single" w:sz="4" w:color="CCCCCC"/>
              <w:right w:val="single" w:sz="4" w:color="CCCCCC"/>
            </w:tcBorders>
            <w:tcW w:w="3600" w:type="dxa"/>
          </w:tcPr>
          <w:p>
            <w:pPr>
              <w:spacing w:after="0"/>
            </w:pPr>
            <w:r>
              <w:rPr>
                <w:rFonts w:ascii="Arial" w:hAnsi="Arial"/>
                <w:b/>
                <w:color w:val="1F4E79"/>
                <w:sz w:val="20"/>
              </w:rPr>
              <w:t>Partner with DevNW</w:t>
            </w:r>
          </w:p>
        </w:tc>
        <w:tc>
          <w:tcPr>
            <w:tcW w:type="dxa" w:w="4500"/>
            <w:shd w:val="clear" w:color="auto" w:fill="FAFAFA"/>
            <w:tcBorders>
              <w:top w:val="single" w:sz="4" w:color="CCCCCC"/>
              <w:bottom w:val="single" w:sz="4" w:color="CCCCCC"/>
              <w:left w:val="single" w:sz="4" w:color="CCCCCC"/>
              <w:right w:val="single" w:sz="4" w:color="CCCCCC"/>
            </w:tcBorders>
            <w:tcW w:w="7920" w:type="dxa"/>
          </w:tcPr>
          <w:p>
            <w:pPr>
              <w:spacing w:after="0"/>
            </w:pPr>
            <w:r>
              <w:rPr>
                <w:rFonts w:ascii="Arial" w:hAnsi="Arial"/>
                <w:b w:val="0"/>
                <w:sz w:val="20"/>
              </w:rPr>
              <w:t>DevNW already has a CLT homeownership pipeline and Springfield connections. Complementary to SquareOne — DevNW has suburban reach and a homeownership (rather than rental) model.</w:t>
            </w:r>
          </w:p>
        </w:tc>
      </w:tr>
      <w:tr>
        <w:tc>
          <w:tcPr>
            <w:tcW w:type="dxa" w:w="4500"/>
            <w:shd w:val="clear" w:color="auto" w:fill="EBF3FB"/>
            <w:tcBorders>
              <w:top w:val="single" w:sz="4" w:color="CCCCCC"/>
              <w:bottom w:val="single" w:sz="4" w:color="CCCCCC"/>
              <w:left w:val="single" w:sz="4" w:color="CCCCCC"/>
              <w:right w:val="single" w:sz="4" w:color="CCCCCC"/>
            </w:tcBorders>
            <w:tcW w:w="3600" w:type="dxa"/>
          </w:tcPr>
          <w:p>
            <w:pPr>
              <w:spacing w:after="0"/>
            </w:pPr>
            <w:r>
              <w:rPr>
                <w:rFonts w:ascii="Arial" w:hAnsi="Arial"/>
                <w:b/>
                <w:color w:val="1F4E79"/>
                <w:sz w:val="20"/>
              </w:rPr>
              <w:t>Register with Lane County Land Bank</w:t>
            </w:r>
          </w:p>
        </w:tc>
        <w:tc>
          <w:tcPr>
            <w:tcW w:type="dxa" w:w="4500"/>
            <w:shd w:val="clear" w:color="auto" w:fill="FFFFFF"/>
            <w:tcBorders>
              <w:top w:val="single" w:sz="4" w:color="CCCCCC"/>
              <w:bottom w:val="single" w:sz="4" w:color="CCCCCC"/>
              <w:left w:val="single" w:sz="4" w:color="CCCCCC"/>
              <w:right w:val="single" w:sz="4" w:color="CCCCCC"/>
            </w:tcBorders>
            <w:tcW w:w="7920" w:type="dxa"/>
          </w:tcPr>
          <w:p>
            <w:pPr>
              <w:spacing w:after="0"/>
            </w:pPr>
            <w:r>
              <w:rPr>
                <w:rFonts w:ascii="Arial" w:hAnsi="Arial"/>
                <w:b w:val="0"/>
                <w:sz w:val="20"/>
              </w:rPr>
              <w:t>Register as a preferred development partner to access future banked parcels. The Land Bank is brand new and actively seeking mission-aligned partners — HAC-ES is exactly the kind of creditworthy, democratically governed institution they need.</w:t>
            </w:r>
          </w:p>
        </w:tc>
      </w:tr>
      <w:tr>
        <w:tc>
          <w:tcPr>
            <w:tcW w:type="dxa" w:w="4500"/>
            <w:shd w:val="clear" w:color="auto" w:fill="F5F5F5"/>
            <w:tcBorders>
              <w:top w:val="single" w:sz="4" w:color="CCCCCC"/>
              <w:bottom w:val="single" w:sz="4" w:color="CCCCCC"/>
              <w:left w:val="single" w:sz="4" w:color="CCCCCC"/>
              <w:right w:val="single" w:sz="4" w:color="CCCCCC"/>
            </w:tcBorders>
            <w:tcW w:w="3600" w:type="dxa"/>
          </w:tcPr>
          <w:p>
            <w:pPr>
              <w:spacing w:after="0"/>
            </w:pPr>
            <w:r>
              <w:rPr>
                <w:rFonts w:ascii="Arial" w:hAnsi="Arial"/>
                <w:b/>
                <w:color w:val="1F4E79"/>
                <w:sz w:val="20"/>
              </w:rPr>
              <w:t>Establish HAC-ES CLT Subsidiary</w:t>
            </w:r>
          </w:p>
        </w:tc>
        <w:tc>
          <w:tcPr>
            <w:tcW w:type="dxa" w:w="4500"/>
            <w:shd w:val="clear" w:color="auto" w:fill="FAFAFA"/>
            <w:tcBorders>
              <w:top w:val="single" w:sz="4" w:color="CCCCCC"/>
              <w:bottom w:val="single" w:sz="4" w:color="CCCCCC"/>
              <w:left w:val="single" w:sz="4" w:color="CCCCCC"/>
              <w:right w:val="single" w:sz="4" w:color="CCCCCC"/>
            </w:tcBorders>
            <w:tcW w:w="7920" w:type="dxa"/>
          </w:tcPr>
          <w:p>
            <w:pPr>
              <w:spacing w:after="0"/>
            </w:pPr>
            <w:r>
              <w:rPr>
                <w:rFonts w:ascii="Arial" w:hAnsi="Arial"/>
                <w:b w:val="0"/>
                <w:sz w:val="20"/>
              </w:rPr>
              <w:t>Establish a HAC-ES CLT as a 501(c)(3) subsidiary once the cooperative reaches Phase 2 scale, with SquareOne or DevNW as technical advisors. Highest long-term autonomy and mission alignment; requires Phase 2 capitalization and governance capacity.</w:t>
            </w:r>
          </w:p>
        </w:tc>
      </w:tr>
    </w:tbl>
    <w:p>
      <w:pPr>
        <w:spacing w:after="40"/>
      </w:pPr>
    </w:p>
    <w:p>
      <w:pPr>
        <w:pStyle w:val="Heading1"/>
        <w:pBdr>
          <w:bottom w:val="single" w:sz="8" w:space="2" w:color="2E75B6"/>
        </w:pBdr>
      </w:pPr>
      <w:r>
        <w:t>Key Insight: The Bottleneck Is Not Land</w:t>
      </w:r>
    </w:p>
    <w:p>
      <w:pPr>
        <w:spacing w:after="320" w:before="80"/>
      </w:pPr>
      <w:r>
        <w:rPr>
          <w:rFonts w:ascii="Arial" w:hAnsi="Arial"/>
          <w:sz w:val="21"/>
        </w:rPr>
        <w:t xml:space="preserve">The land supply isn't the bottleneck in Lane County right now — the City of Eugene and Lane County are actively trying to move land into affordable use. The bottleneck is </w:t>
      </w:r>
      <w:r>
        <w:rPr>
          <w:rFonts w:ascii="Arial" w:hAnsi="Arial"/>
          <w:b/>
          <w:sz w:val="21"/>
        </w:rPr>
        <w:t>capitalized, creditworthy development partners.</w:t>
      </w:r>
      <w:r>
        <w:rPr>
          <w:rFonts w:ascii="Arial" w:hAnsi="Arial"/>
          <w:sz w:val="21"/>
        </w:rPr>
        <w:t xml:space="preserve"> That's exactly what HAC-ES is being built to be.</w:t>
      </w:r>
    </w:p>
    <w:tbl>
      <w:tblPr>
        <w:tblStyle w:val="TableGrid"/>
        <w:tblW w:type="auto" w:w="0"/>
        <w:tblLook w:firstColumn="1" w:firstRow="1" w:lastColumn="0" w:lastRow="0" w:noHBand="0" w:noVBand="1" w:val="04A0"/>
        <w:tblW w:w="8640" w:type="dxa"/>
      </w:tblPr>
      <w:tblGrid>
        <w:gridCol w:w="9000"/>
      </w:tblGrid>
      <w:tr>
        <w:tc>
          <w:tcPr>
            <w:tcW w:type="dxa" w:w="9000"/>
            <w:shd w:val="clear" w:color="auto" w:fill="E1F5EE"/>
            <w:tcBorders>
              <w:top w:val="single" w:sz="4" w:color="0D7A5A"/>
              <w:bottom w:val="single" w:sz="4" w:color="0D7A5A"/>
              <w:left w:val="single" w:sz="4" w:color="0D7A5A"/>
              <w:right w:val="single" w:sz="4" w:color="0D7A5A"/>
            </w:tcBorders>
          </w:tcPr>
          <w:p>
            <w:pPr>
              <w:spacing w:after="0"/>
            </w:pPr>
            <w:r>
              <w:rPr>
                <w:rFonts w:ascii="Arial" w:hAnsi="Arial"/>
                <w:b/>
                <w:color w:val="074D3A"/>
                <w:sz w:val="21"/>
              </w:rPr>
              <w:t xml:space="preserve">HAC-ES Positioning  </w:t>
            </w:r>
            <w:r>
              <w:rPr>
                <w:rFonts w:ascii="Arial" w:hAnsi="Arial"/>
                <w:color w:val="1C1C1A"/>
                <w:sz w:val="21"/>
              </w:rPr>
              <w:t>The cooperative's democratic governance, member capitalization, and AI-governed fund administration are precisely the infrastructure that makes a development partner creditworthy and mission-reliable — the combination Lane County and the City of Eugene are looking for, and that no existing CLT in the region currently provides at scale.</w:t>
            </w:r>
          </w:p>
        </w:tc>
      </w:tr>
    </w:tbl>
    <w:p>
      <w:pPr>
        <w:spacing w:after="40"/>
      </w:pPr>
    </w:p>
    <w:p>
      <w:pPr>
        <w:spacing w:after="40"/>
      </w:pPr>
    </w:p>
    <w:p>
      <w:pPr>
        <w:pStyle w:val="Heading1"/>
        <w:pBdr>
          <w:bottom w:val="single" w:sz="8" w:space="2" w:color="2E75B6"/>
        </w:pBdr>
      </w:pPr>
      <w:r>
        <w:t>Sources</w:t>
      </w:r>
    </w:p>
    <w:p>
      <w:pPr>
        <w:spacing w:after="80"/>
      </w:pPr>
      <w:r>
        <w:rPr>
          <w:rFonts w:ascii="Arial" w:hAnsi="Arial"/>
          <w:sz w:val="19"/>
        </w:rPr>
        <w:t>SquareOne Villages — squareonevil lages.org</w:t>
      </w:r>
      <w:r>
        <w:rPr>
          <w:rFonts w:ascii="Arial" w:hAnsi="Arial"/>
          <w:i/>
          <w:color w:val="2E75B6"/>
          <w:sz w:val="18"/>
        </w:rPr>
        <w:t xml:space="preserve">  [https://www.squareonev illages.org/]</w:t>
      </w:r>
    </w:p>
    <w:p>
      <w:pPr>
        <w:spacing w:after="80"/>
      </w:pPr>
      <w:r>
        <w:rPr>
          <w:rFonts w:ascii="Arial" w:hAnsi="Arial"/>
          <w:sz w:val="19"/>
        </w:rPr>
        <w:t>DevNW — Community Land Trust Program</w:t>
      </w:r>
      <w:r>
        <w:rPr>
          <w:rFonts w:ascii="Arial" w:hAnsi="Arial"/>
          <w:i/>
          <w:color w:val="2E75B6"/>
          <w:sz w:val="18"/>
        </w:rPr>
        <w:t xml:space="preserve">  [https://www.devnw.org/blog/clt]</w:t>
      </w:r>
    </w:p>
    <w:p>
      <w:pPr>
        <w:spacing w:after="80"/>
      </w:pPr>
      <w:r>
        <w:rPr>
          <w:rFonts w:ascii="Arial" w:hAnsi="Arial"/>
          <w:sz w:val="19"/>
        </w:rPr>
        <w:t>City of Eugene — Land Acquisition Program</w:t>
      </w:r>
      <w:r>
        <w:rPr>
          <w:rFonts w:ascii="Arial" w:hAnsi="Arial"/>
          <w:i/>
          <w:color w:val="2E75B6"/>
          <w:sz w:val="18"/>
        </w:rPr>
        <w:t xml:space="preserve">  [https://www.eugene-or.gov/1042/Land-for-Affordable-Housing]</w:t>
      </w:r>
    </w:p>
    <w:p>
      <w:pPr>
        <w:spacing w:after="80"/>
      </w:pPr>
      <w:r>
        <w:rPr>
          <w:rFonts w:ascii="Arial" w:hAnsi="Arial"/>
          <w:sz w:val="19"/>
        </w:rPr>
        <w:t>Lane County — Land Bank Program</w:t>
      </w:r>
      <w:r>
        <w:rPr>
          <w:rFonts w:ascii="Arial" w:hAnsi="Arial"/>
          <w:i/>
          <w:color w:val="2E75B6"/>
          <w:sz w:val="18"/>
        </w:rPr>
        <w:t xml:space="preserve">  [https://www.lanecounty.or.gov]</w:t>
      </w:r>
    </w:p>
    <w:p>
      <w:pPr>
        <w:spacing w:after="80"/>
      </w:pPr>
      <w:r>
        <w:rPr>
          <w:rFonts w:ascii="Arial" w:hAnsi="Arial"/>
          <w:sz w:val="19"/>
        </w:rPr>
        <w:t>McKenzie Community Land Trust</w:t>
      </w:r>
      <w:r>
        <w:rPr>
          <w:rFonts w:ascii="Arial" w:hAnsi="Arial"/>
          <w:i/>
          <w:color w:val="2E75B6"/>
          <w:sz w:val="18"/>
        </w:rPr>
        <w:t xml:space="preserve">  [https://mckenzieclt.org]</w:t>
      </w:r>
    </w:p>
    <w:p>
      <w:pPr>
        <w:spacing w:after="40"/>
      </w:pPr>
    </w:p>
    <w:p>
      <w:pPr>
        <w:spacing w:after="40"/>
      </w:pPr>
    </w:p>
    <w:p>
      <w:pPr>
        <w:jc w:val="center"/>
      </w:pPr>
      <w:r>
        <w:rPr>
          <w:rFonts w:ascii="Arial" w:hAnsi="Arial"/>
          <w:i/>
          <w:color w:val="AAAAAA"/>
          <w:sz w:val="16"/>
        </w:rPr>
        <w:t>Human Asset Cooperative of Eugene-Springfield  ·  CLT Landscape Research  ·  2026</w:t>
      </w:r>
    </w:p>
    <w:sectPr w:rsidR="00FC693F" w:rsidRPr="0006063C" w:rsidSect="00034616">
      <w:headerReference w:type="default" r:id="rId9"/>
      <w:footerReference w:type="default" r:id="rId10"/>
      <w:pgSz w:w="12240" w:h="15840"/>
      <w:pgMar w:top="144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color w:val="595959"/>
        <w:sz w:val="16"/>
      </w:rPr>
      <w:t xml:space="preserve">HAC-ES Community Land Trust Landscape  ·  Research Summary  |  Page </w:t>
    </w:r>
    <w:r>
      <w:rPr>
        <w:rFonts w:ascii="Arial" w:hAnsi="Arial"/>
        <w:color w:val="595959"/>
        <w:sz w:val="16"/>
      </w:rPr>
      <w:fldChar w:fldCharType="begin"/>
      <w:instrText xml:space="preserve">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Bdr>
        <w:bottom w:val="single" w:sz="6" w:space="2" w:color="CCCCCC"/>
      </w:pBdr>
    </w:pPr>
    <w:r>
      <w:rPr>
        <w:rFonts w:ascii="Arial" w:hAnsi="Arial"/>
        <w:b/>
        <w:color w:val="1F4E79"/>
        <w:sz w:val="18"/>
      </w:rPr>
      <w:t>HUMAN ASSET COOPERATIVE OF EUGENE-SPRINGFIELD</w:t>
    </w:r>
    <w:r>
      <w:rPr>
        <w:rFonts w:ascii="Arial" w:hAnsi="Arial"/>
        <w:color w:val="595959"/>
        <w:sz w:val="18"/>
      </w:rPr>
      <w:t xml:space="preserve">   |   CLT Landscape Research  ·  Eugene-Springfield &amp; Lane County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240"/>
      <w:outlineLvl w:val="0"/>
    </w:pPr>
    <w:rPr>
      <w:rFonts w:asciiTheme="majorHAnsi" w:eastAsiaTheme="majorEastAsia" w:hAnsiTheme="majorHAnsi" w:cstheme="majorBidi" w:ascii="Arial" w:hAnsi="Arial"/>
      <w:b/>
      <w:bCs/>
      <w:color w:val="1F4E79"/>
      <w:sz w:val="36"/>
      <w:szCs w:val="28"/>
    </w:rPr>
  </w:style>
  <w:style w:type="paragraph" w:styleId="Heading2">
    <w:name w:val="heading 2"/>
    <w:basedOn w:val="Normal"/>
    <w:next w:val="Normal"/>
    <w:link w:val="Heading2Char"/>
    <w:uiPriority w:val="9"/>
    <w:unhideWhenUsed/>
    <w:qFormat/>
    <w:rsid w:val="00FC693F"/>
    <w:pPr>
      <w:keepNext/>
      <w:keepLines/>
      <w:spacing w:before="320" w:after="160"/>
      <w:outlineLvl w:val="1"/>
    </w:pPr>
    <w:rPr>
      <w:rFonts w:asciiTheme="majorHAnsi" w:eastAsiaTheme="majorEastAsia" w:hAnsiTheme="majorHAnsi" w:cstheme="majorBidi" w:ascii="Arial" w:hAnsi="Arial"/>
      <w:b/>
      <w:bCs/>
      <w:color w:val="1F4E79"/>
      <w:sz w:val="26"/>
      <w:szCs w:val="26"/>
    </w:rPr>
  </w:style>
  <w:style w:type="paragraph" w:styleId="Heading3">
    <w:name w:val="heading 3"/>
    <w:basedOn w:val="Normal"/>
    <w:next w:val="Normal"/>
    <w:link w:val="Heading3Char"/>
    <w:uiPriority w:val="9"/>
    <w:unhideWhenUsed/>
    <w:qFormat/>
    <w:rsid w:val="00FC693F"/>
    <w:pPr>
      <w:keepNext/>
      <w:keepLines/>
      <w:spacing w:before="200" w:after="80"/>
      <w:outlineLvl w:val="2"/>
    </w:pPr>
    <w:rPr>
      <w:rFonts w:asciiTheme="majorHAnsi" w:eastAsiaTheme="majorEastAsia" w:hAnsiTheme="majorHAnsi" w:cstheme="majorBidi" w:ascii="Arial" w:hAnsi="Arial"/>
      <w:b/>
      <w:bCs/>
      <w:color w:val="2C2C2C"/>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