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400"/>
              <w:left w:type="dxa" w:w="480"/>
              <w:bottom w:type="dxa" w:w="360"/>
              <w:right w:type="dxa" w:w="480"/>
            </w:tcMar>
          </w:tcPr>
          <w:p>
            <w:pPr>
              <w:spacing w:after="80" w:before="0"/>
            </w:pPr>
            <w:r>
              <w:rPr>
                <w:rFonts w:ascii="Arial" w:cs="Arial" w:eastAsia="Arial" w:hAnsi="Arial"/>
                <w:b/>
                <w:bCs/>
                <w:color w:val="FFFFFF"/>
                <w:sz w:val="48"/>
                <w:szCs w:val="48"/>
              </w:rPr>
              <w:t xml:space="preserve">HUMAN ASSET COOPERATIVE</w:t>
            </w:r>
          </w:p>
          <w:p>
            <w:pPr>
              <w:spacing w:after="160" w:before="0"/>
            </w:pPr>
            <w:r>
              <w:rPr>
                <w:rFonts w:ascii="Arial" w:cs="Arial" w:eastAsia="Arial" w:hAnsi="Arial"/>
                <w:i/>
                <w:iCs/>
                <w:color w:val="8BBFE8"/>
                <w:sz w:val="30"/>
                <w:szCs w:val="30"/>
              </w:rPr>
              <w:t xml:space="preserve">of Eugene-Springfield</w:t>
            </w:r>
          </w:p>
          <w:p>
            <w:pPr>
              <w:spacing w:after="0" w:before="80"/>
            </w:pPr>
            <w:r>
              <w:rPr>
                <w:rFonts w:ascii="Arial" w:cs="Arial" w:eastAsia="Arial" w:hAnsi="Arial"/>
                <w:b/>
                <w:bCs/>
                <w:color w:val="1AAF7A"/>
                <w:sz w:val="22"/>
                <w:szCs w:val="22"/>
              </w:rPr>
              <w:t xml:space="preserve">DONOR OVERVIEW  |  2026</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i/>
                <w:iCs/>
                <w:color w:val="074D3A"/>
                <w:sz w:val="22"/>
                <w:szCs w:val="22"/>
              </w:rPr>
              <w:t xml:space="preserve">HAC-ES is founded on the principle that every human being is an asset of immeasurable and quantifiable value — and that any economic system worthy of its people must treat human beings as its highest-priority asset.</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b/>
                <w:bCs/>
                <w:color w:val="0D7A5A"/>
                <w:sz w:val="22"/>
                <w:szCs w:val="22"/>
              </w:rPr>
              <w:t>IMPORTANT FOR DONORS — Hybrid Structure (2026): HAC-ES operates as a linked 501(c)(3) nonprofit (operating as a linked nonprofit + cooperative structure). Donations to the Human Asset Cooperative of Eugene-Springfield nonprofit entity are tax-deductible under IRC §501(c)(3). The worker cooperative entity does NOT receive tax-deductible donations — all charitable giving flows through the nonprofit. Donors receive standard 501(c)(3) charitable deduction documentation. Community Investment Notes and equity instruments are offered through the cooperative entity and are subject to securities laws.</w:t>
            </w:r>
          </w:p>
        </w:tc>
      </w:tr>
    </w:tbl>
    <w:p>
      <w:pPr>
        <w:spacing w:after="0" w:before="200"/>
      </w:pPr>
      <w:r>
        <w:t xml:space="preserve"/>
      </w:r>
    </w:p>
    <w:p>
      <w:pPr>
        <w:pStyle w:val="Heading2"/>
        <w:spacing w:after="120" w:before="240"/>
      </w:pPr>
      <w:r>
        <w:rPr>
          <w:rFonts w:ascii="Arial" w:cs="Arial" w:eastAsia="Arial" w:hAnsi="Arial"/>
          <w:b/>
          <w:bCs/>
          <w:color w:val="074D3A"/>
          <w:sz w:val="28"/>
          <w:szCs w:val="28"/>
        </w:rPr>
        <w:t xml:space="preserve">THE PROBLEM WE ARE SOLVING</w:t>
      </w:r>
    </w:p>
    <w:p>
      <w:pPr>
        <w:pBdr>
          <w:bottom w:val="single" w:color="074D3A"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Lane County faces a compounding jobs and economic security crisis that conventional programs have failed to address: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single" w:color="CCCCCC" w:sz="1"/>
              <w:left w:val="single" w:color="CCCCCC" w:sz="1"/>
              <w:bottom w:val="single" w:color="CCCCCC" w:sz="1"/>
              <w:right w:val="single" w:color="CCCCCC" w:sz="1"/>
            </w:tcBorders>
            <w:shd w:fill="E6F0FA" w:val="clear"/>
            <w:tcMar>
              <w:top w:type="dxa" w:w="120"/>
              <w:left w:type="dxa" w:w="120"/>
              <w:bottom w:type="dxa" w:w="120"/>
              <w:right w:type="dxa" w:w="120"/>
            </w:tcMar>
            <w:vAlign w:val="center"/>
          </w:tcPr>
          <w:p>
            <w:pPr>
              <w:spacing w:after="40" w:before="0"/>
              <w:jc w:val="center"/>
            </w:pPr>
            <w:r>
              <w:rPr>
                <w:rFonts w:ascii="Arial" w:cs="Arial" w:eastAsia="Arial" w:hAnsi="Arial"/>
                <w:b/>
                <w:bCs/>
                <w:color w:val="0B3D6B"/>
                <w:sz w:val="36"/>
                <w:szCs w:val="36"/>
              </w:rPr>
              <w:t xml:space="preserve">5.0%</w:t>
            </w:r>
          </w:p>
          <w:p>
            <w:pPr>
              <w:spacing w:after="20" w:before="0"/>
              <w:jc w:val="center"/>
            </w:pPr>
            <w:r>
              <w:rPr>
                <w:rFonts w:ascii="Arial" w:cs="Arial" w:eastAsia="Arial" w:hAnsi="Arial"/>
                <w:b/>
                <w:bCs/>
                <w:color w:val="3D3D3A"/>
                <w:sz w:val="18"/>
                <w:szCs w:val="18"/>
              </w:rPr>
              <w:t xml:space="preserve">Unemployment Rate</w:t>
            </w:r>
          </w:p>
          <w:p>
            <w:pPr>
              <w:spacing w:after="0" w:before="0"/>
              <w:jc w:val="center"/>
            </w:pPr>
            <w:r>
              <w:rPr>
                <w:rFonts w:ascii="Arial" w:cs="Arial" w:eastAsia="Arial" w:hAnsi="Arial"/>
                <w:i/>
                <w:iCs/>
                <w:color w:val="6A6A65"/>
                <w:sz w:val="16"/>
                <w:szCs w:val="16"/>
              </w:rPr>
              <w:t xml:space="preserve">Up from 3.6% in 2023</w:t>
            </w:r>
          </w:p>
        </w:tc>
        <w:tc>
          <w:tcPr>
            <w:tcW w:type="dxa" w:w="2520"/>
            <w:tcBorders>
              <w:top w:val="single" w:color="CCCCCC" w:sz="1"/>
              <w:left w:val="single" w:color="CCCCCC" w:sz="1"/>
              <w:bottom w:val="single" w:color="CCCCCC" w:sz="1"/>
              <w:right w:val="single" w:color="CCCCCC" w:sz="1"/>
            </w:tcBorders>
            <w:shd w:fill="E1F5EE" w:val="clear"/>
            <w:tcMar>
              <w:top w:type="dxa" w:w="120"/>
              <w:left w:type="dxa" w:w="120"/>
              <w:bottom w:type="dxa" w:w="120"/>
              <w:right w:type="dxa" w:w="120"/>
            </w:tcMar>
            <w:vAlign w:val="center"/>
          </w:tcPr>
          <w:p>
            <w:pPr>
              <w:spacing w:after="40" w:before="0"/>
              <w:jc w:val="center"/>
            </w:pPr>
            <w:r>
              <w:rPr>
                <w:rFonts w:ascii="Arial" w:cs="Arial" w:eastAsia="Arial" w:hAnsi="Arial"/>
                <w:b/>
                <w:bCs/>
                <w:color w:val="0B3D6B"/>
                <w:sz w:val="36"/>
                <w:szCs w:val="36"/>
              </w:rPr>
              <w:t xml:space="preserve">57%</w:t>
            </w:r>
          </w:p>
          <w:p>
            <w:pPr>
              <w:spacing w:after="20" w:before="0"/>
              <w:jc w:val="center"/>
            </w:pPr>
            <w:r>
              <w:rPr>
                <w:rFonts w:ascii="Arial" w:cs="Arial" w:eastAsia="Arial" w:hAnsi="Arial"/>
                <w:b/>
                <w:bCs/>
                <w:color w:val="3D3D3A"/>
                <w:sz w:val="18"/>
                <w:szCs w:val="18"/>
              </w:rPr>
              <w:t xml:space="preserve">Jobs Below Avg. Wage</w:t>
            </w:r>
          </w:p>
          <w:p>
            <w:pPr>
              <w:spacing w:after="0" w:before="0"/>
              <w:jc w:val="center"/>
            </w:pPr>
            <w:r>
              <w:rPr>
                <w:rFonts w:ascii="Arial" w:cs="Arial" w:eastAsia="Arial" w:hAnsi="Arial"/>
                <w:i/>
                <w:iCs/>
                <w:color w:val="6A6A65"/>
                <w:sz w:val="16"/>
                <w:szCs w:val="16"/>
              </w:rPr>
              <w:t xml:space="preserve">Even as avg. wage hit $52K</w:t>
            </w:r>
          </w:p>
        </w:tc>
        <w:tc>
          <w:tcPr>
            <w:tcW w:type="dxa" w:w="2520"/>
            <w:tcBorders>
              <w:top w:val="single" w:color="CCCCCC" w:sz="1"/>
              <w:left w:val="single" w:color="CCCCCC" w:sz="1"/>
              <w:bottom w:val="single" w:color="CCCCCC" w:sz="1"/>
              <w:right w:val="single" w:color="CCCCCC" w:sz="1"/>
            </w:tcBorders>
            <w:shd w:fill="FDF0E3" w:val="clear"/>
            <w:tcMar>
              <w:top w:type="dxa" w:w="120"/>
              <w:left w:type="dxa" w:w="120"/>
              <w:bottom w:type="dxa" w:w="120"/>
              <w:right w:type="dxa" w:w="120"/>
            </w:tcMar>
            <w:vAlign w:val="center"/>
          </w:tcPr>
          <w:p>
            <w:pPr>
              <w:spacing w:after="40" w:before="0"/>
              <w:jc w:val="center"/>
            </w:pPr>
            <w:r>
              <w:rPr>
                <w:rFonts w:ascii="Arial" w:cs="Arial" w:eastAsia="Arial" w:hAnsi="Arial"/>
                <w:b/>
                <w:bCs/>
                <w:color w:val="0B3D6B"/>
                <w:sz w:val="36"/>
                <w:szCs w:val="36"/>
              </w:rPr>
              <w:t xml:space="preserve">20+</w:t>
            </w:r>
          </w:p>
          <w:p>
            <w:pPr>
              <w:spacing w:after="20" w:before="0"/>
              <w:jc w:val="center"/>
            </w:pPr>
            <w:r>
              <w:rPr>
                <w:rFonts w:ascii="Arial" w:cs="Arial" w:eastAsia="Arial" w:hAnsi="Arial"/>
                <w:b/>
                <w:bCs/>
                <w:color w:val="3D3D3A"/>
                <w:sz w:val="18"/>
                <w:szCs w:val="18"/>
              </w:rPr>
              <w:t xml:space="preserve">Applications Before Callback</w:t>
            </w:r>
          </w:p>
          <w:p>
            <w:pPr>
              <w:spacing w:after="0" w:before="0"/>
              <w:jc w:val="center"/>
            </w:pPr>
            <w:r>
              <w:rPr>
                <w:rFonts w:ascii="Arial" w:cs="Arial" w:eastAsia="Arial" w:hAnsi="Arial"/>
                <w:i/>
                <w:iCs/>
                <w:color w:val="6A6A65"/>
                <w:sz w:val="16"/>
                <w:szCs w:val="16"/>
              </w:rPr>
              <w:t xml:space="preserve">Typical entry-level experience</w:t>
            </w:r>
          </w:p>
        </w:tc>
        <w:tc>
          <w:tcPr>
            <w:tcW w:type="dxa" w:w="2520"/>
            <w:tcBorders>
              <w:top w:val="single" w:color="CCCCCC" w:sz="1"/>
              <w:left w:val="single" w:color="CCCCCC" w:sz="1"/>
              <w:bottom w:val="single" w:color="CCCCCC" w:sz="1"/>
              <w:right w:val="single" w:color="CCCCCC" w:sz="1"/>
            </w:tcBorders>
            <w:shd w:fill="F0EEE8" w:val="clear"/>
            <w:tcMar>
              <w:top w:type="dxa" w:w="120"/>
              <w:left w:type="dxa" w:w="120"/>
              <w:bottom w:type="dxa" w:w="120"/>
              <w:right w:type="dxa" w:w="120"/>
            </w:tcMar>
            <w:vAlign w:val="center"/>
          </w:tcPr>
          <w:p>
            <w:pPr>
              <w:spacing w:after="40" w:before="0"/>
              <w:jc w:val="center"/>
            </w:pPr>
            <w:r>
              <w:rPr>
                <w:rFonts w:ascii="Arial" w:cs="Arial" w:eastAsia="Arial" w:hAnsi="Arial"/>
                <w:b/>
                <w:bCs/>
                <w:color w:val="0B3D6B"/>
                <w:sz w:val="36"/>
                <w:szCs w:val="36"/>
              </w:rPr>
              <w:t xml:space="preserve">“Frozen”</w:t>
            </w:r>
          </w:p>
          <w:p>
            <w:pPr>
              <w:spacing w:after="20" w:before="0"/>
              <w:jc w:val="center"/>
            </w:pPr>
            <w:r>
              <w:rPr>
                <w:rFonts w:ascii="Arial" w:cs="Arial" w:eastAsia="Arial" w:hAnsi="Arial"/>
                <w:b/>
                <w:bCs/>
                <w:color w:val="3D3D3A"/>
                <w:sz w:val="18"/>
                <w:szCs w:val="18"/>
              </w:rPr>
              <w:t xml:space="preserve">OED Job Market Status</w:t>
            </w:r>
          </w:p>
          <w:p>
            <w:pPr>
              <w:spacing w:after="0" w:before="0"/>
              <w:jc w:val="center"/>
            </w:pPr>
            <w:r>
              <w:rPr>
                <w:rFonts w:ascii="Arial" w:cs="Arial" w:eastAsia="Arial" w:hAnsi="Arial"/>
                <w:i/>
                <w:iCs/>
                <w:color w:val="6A6A65"/>
                <w:sz w:val="16"/>
                <w:szCs w:val="16"/>
              </w:rPr>
              <w:t xml:space="preserve">Oregon Employment Dept., 2025</w:t>
            </w:r>
          </w:p>
        </w:tc>
      </w:tr>
    </w:tbl>
    <w:p>
      <w:pPr>
        <w:spacing w:after="0" w:before="140"/>
      </w:pPr>
      <w:r>
        <w:t xml:space="preserve"/>
      </w:r>
    </w:p>
    <w:p>
      <w:pPr>
        <w:spacing w:after="100" w:before="60"/>
        <w:jc w:val="left"/>
      </w:pPr>
      <w:r>
        <w:rPr>
          <w:rFonts w:ascii="Arial" w:cs="Arial" w:eastAsia="Arial" w:hAnsi="Arial"/>
          <w:b w:val="false"/>
          <w:bCs w:val="false"/>
          <w:i w:val="false"/>
          <w:iCs w:val="false"/>
          <w:color w:val="1C1C1A"/>
          <w:sz w:val="22"/>
          <w:szCs w:val="22"/>
        </w:rPr>
        <w:t xml:space="preserve">Employment decreased across 6 of Oregon’s 7 largest counties in the 12 months to March 2025. The market is not simply slow — it is structurally broken. Workers face few vacancies, wages stagnant for most, and no guaranteed floor beneath them when things go wrong.</w:t>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590A" w:sz="4"/>
              <w:left w:val="single" w:color="B8590A" w:sz="4"/>
              <w:bottom w:val="single" w:color="B8590A" w:sz="4"/>
              <w:right w:val="single" w:color="B8590A" w:sz="4"/>
            </w:tcBorders>
            <w:shd w:fill="FDF0E3"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Conventional programs treat unemployment as a personal matching problem: connect individuals to job boards and case management. HAC-ES starts from a different premise: unemployment is a market design failure. That reframe changes everything about the solution.</w:t>
            </w:r>
          </w:p>
        </w:tc>
      </w:tr>
    </w:tbl>
    <w:p>
      <w:pPr>
        <w:spacing w:after="0" w:before="200"/>
      </w:pPr>
      <w:r>
        <w:t xml:space="preserve"/>
      </w:r>
    </w:p>
    <w:p>
      <w:r>
        <w:br w:type="page"/>
      </w:r>
    </w:p>
    <w:p>
      <w:pPr>
        <w:pStyle w:val="Heading2"/>
        <w:spacing w:after="120" w:before="240"/>
      </w:pPr>
      <w:r>
        <w:rPr>
          <w:rFonts w:ascii="Arial" w:cs="Arial" w:eastAsia="Arial" w:hAnsi="Arial"/>
          <w:b/>
          <w:bCs/>
          <w:color w:val="074D3A"/>
          <w:sz w:val="28"/>
          <w:szCs w:val="28"/>
        </w:rPr>
        <w:t xml:space="preserve">OUR APPROACH: A COMMUNITY EMPLOYMENT ECOSYSTEM</w:t>
      </w:r>
    </w:p>
    <w:p>
      <w:pPr>
        <w:pBdr>
          <w:bottom w:val="single" w:color="074D3A"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HAC-ES addresses unemployment and economic insecurity through seven simultaneous levers — each attacking a different root cause, each reinforcing the others. The result is not a single program but a community employment ecosystem: one that creates jobs, fills them, trains for them, supports people through gaps, recognizes unpaid work, and advocates for structural change.</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0"/>
        <w:gridCol w:w="2100"/>
        <w:gridCol w:w="7480"/>
      </w:tblGrid>
      <w:tr>
        <w:trPr>
          <w:tblHeader/>
        </w:trPr>
        <w:tc>
          <w:tcPr>
            <w:tcW w:type="dxa" w:w="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1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Lever</w:t>
            </w:r>
          </w:p>
        </w:tc>
        <w:tc>
          <w:tcPr>
            <w:tcW w:type="dxa" w:w="74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1</w:t>
            </w:r>
          </w:p>
        </w:tc>
        <w:tc>
          <w:tcPr>
            <w:tcW w:type="dxa" w:w="21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HAIS Employment Module</w:t>
            </w:r>
          </w:p>
        </w:tc>
        <w:tc>
          <w:tcPr>
            <w:tcW w:type="dxa" w:w="74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Real-time, consent-based matching of members to job openings across our Organizational Member network — working for members every day without requiring active searching.</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2</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B3D6B"/>
                <w:sz w:val="20"/>
                <w:szCs w:val="20"/>
              </w:rPr>
              <w:t xml:space="preserve">Cooperative Employer Network</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Creates new jobs through worker cooperative conversion and incubation, and social enterprise development. HAC-ES becomes an anchor customer that de-risks new worker-owned businesses from Day 1.</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3</w:t>
            </w:r>
          </w:p>
        </w:tc>
        <w:tc>
          <w:tcPr>
            <w:tcW w:type="dxa" w:w="21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Human Asset Development</w:t>
            </w:r>
          </w:p>
        </w:tc>
        <w:tc>
          <w:tcPr>
            <w:tcW w:type="dxa" w:w="74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Covers training costs when the HAIS identifies a member is “two certifications away from a living-wage job.” No member chooses between feeding their family and investing in their future.</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4</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B3D6B"/>
                <w:sz w:val="20"/>
                <w:szCs w:val="20"/>
              </w:rPr>
              <w:t xml:space="preserve">Basic Needs Floor</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Guarantees housing stability, food security, and healthcare for all enrolled members regardless of employment — eliminating the “desperation premium” that keeps low-income workers trapped in bad jobs.</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5</w:t>
            </w:r>
          </w:p>
        </w:tc>
        <w:tc>
          <w:tcPr>
            <w:tcW w:type="dxa" w:w="21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Green Jobs Pipeline</w:t>
            </w:r>
          </w:p>
        </w:tc>
        <w:tc>
          <w:tcPr>
            <w:tcW w:type="dxa" w:w="74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Connects unemployed members to the IRA-fueled clean energy wave — weatherization, solar, heat pumps, EV infrastructure — serving both employment and climate goals simultaneously.</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6</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B3D6B"/>
                <w:sz w:val="20"/>
                <w:szCs w:val="20"/>
              </w:rPr>
              <w:t xml:space="preserve">Full Economy Recognition</w:t>
            </w:r>
          </w:p>
        </w:tc>
        <w:tc>
          <w:tcPr>
            <w:tcW w:type="dxa" w:w="7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Formally credits unpaid caregiving, community organizing, and mutual aid through service contribution credits and a time-banking system administered by the HAIS.</w:t>
            </w:r>
          </w:p>
        </w:tc>
      </w:tr>
      <w:tr>
        <w:tc>
          <w:tcPr>
            <w:tcW w:type="dxa" w:w="5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7</w:t>
            </w:r>
          </w:p>
        </w:tc>
        <w:tc>
          <w:tcPr>
            <w:tcW w:type="dxa" w:w="21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Policy Advocacy</w:t>
            </w:r>
          </w:p>
        </w:tc>
        <w:tc>
          <w:tcPr>
            <w:tcW w:type="dxa" w:w="74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Publishes an annual Middle-Out Policy Scorecard and advocates for living wage ordinances, antitrust enforcement, worker empowerment, and community benefit agreements with UO and PeaceHealth.</w:t>
            </w:r>
          </w:p>
        </w:tc>
      </w:tr>
    </w:tbl>
    <w:p>
      <w:pPr>
        <w:spacing w:after="0" w:before="200"/>
      </w:pPr>
      <w:r>
        <w:t xml:space="preserve"/>
      </w:r>
    </w:p>
    <w:p>
      <w:pPr>
        <w:pStyle w:val="Heading2"/>
        <w:spacing w:after="120" w:before="240"/>
      </w:pPr>
      <w:r>
        <w:rPr>
          <w:rFonts w:ascii="Arial" w:cs="Arial" w:eastAsia="Arial" w:hAnsi="Arial"/>
          <w:b/>
          <w:bCs/>
          <w:color w:val="074D3A"/>
          <w:sz w:val="28"/>
          <w:szCs w:val="28"/>
        </w:rPr>
        <w:t xml:space="preserve">THE TECHNOLOGY: HUMAN ASSET INTELLIGENCE SYSTEM (HAIS)</w:t>
      </w:r>
    </w:p>
    <w:p>
      <w:pPr>
        <w:pBdr>
          <w:bottom w:val="single" w:color="074D3A"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At the heart of HAC-ES is the HAIS — an AI governance platform purpose-built for community benefit, not profit extraction. The HAIS enables a small staff to serve thousands of members with precision and consistency.</w:t>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Needs Assessment</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Continuous, anonymized assessment of member basic needs gaps — housing, food, health, education, connectivity</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Employment Matching</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Real-time matching of member skills to openings across the Organizational Member network</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Resource Matching</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Connects members to community resources, green energy programs, and training pathways automatically</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Impact Measurement</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Calculates return on investment for every Cooperative expenditure on member wellbeing</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Fund Administration</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Manages the Human Asset Fund: contributions, priority deployments, and eventual dividend calculation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Grant Intelligence</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Continuously monitors for aligned grant, impact investment, and policy funding opportunities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Governance Support</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Prepares agendas, supports member voting, generates transparency reports — so humans focus on relationships, not administration</w:t>
            </w:r>
          </w:p>
        </w:tc>
      </w:tr>
    </w:tbl>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i/>
                <w:iCs/>
                <w:color w:val="074D3A"/>
                <w:sz w:val="22"/>
                <w:szCs w:val="22"/>
              </w:rPr>
              <w:t xml:space="preserve">The AI does the work. Humans are hired to govern the AI, to build the relationships that make the data meaningful, and to exercise the judgment that no AI system can legitimately hold.</w:t>
            </w:r>
          </w:p>
        </w:tc>
      </w:tr>
    </w:tbl>
    <w:p>
      <w:pPr>
        <w:spacing w:after="0" w:before="120"/>
      </w:pPr>
      <w:r>
        <w:t xml:space="preserve"/>
      </w:r>
    </w:p>
    <w:p>
      <w:pPr>
        <w:spacing w:after="80" w:before="200"/>
      </w:pPr>
      <w:r>
        <w:rPr>
          <w:rFonts w:ascii="Arial" w:cs="Arial" w:eastAsia="Arial" w:hAnsi="Arial"/>
          <w:b/>
          <w:bCs/>
          <w:color w:val="0B3D6B"/>
          <w:sz w:val="23"/>
          <w:szCs w:val="23"/>
        </w:rPr>
        <w:t xml:space="preserve">AI Governance Principles</w:t>
      </w:r>
    </w:p>
    <w:p>
      <w:pPr>
        <w:spacing w:after="100" w:before="60"/>
        <w:jc w:val="left"/>
      </w:pPr>
      <w:r>
        <w:rPr>
          <w:rFonts w:ascii="Arial" w:cs="Arial" w:eastAsia="Arial" w:hAnsi="Arial"/>
          <w:b w:val="false"/>
          <w:bCs w:val="false"/>
          <w:i w:val="false"/>
          <w:iCs w:val="false"/>
          <w:color w:val="1C1C1A"/>
          <w:sz w:val="22"/>
          <w:szCs w:val="22"/>
        </w:rPr>
        <w:t xml:space="preserve">The HAIS operates under a published AI Governance Charter with non-negotiable principles:</w:t>
      </w:r>
    </w:p>
    <w:p>
      <w:pPr>
        <w:pStyle w:val="ListParagraph"/>
        <w:numPr>
          <w:ilvl w:val="0"/>
          <w:numId w:val="2"/>
        </w:numPr>
        <w:spacing w:after="60" w:before="40"/>
      </w:pPr>
      <w:r>
        <w:rPr>
          <w:rFonts w:ascii="Arial" w:cs="Arial" w:eastAsia="Arial" w:hAnsi="Arial"/>
          <w:sz w:val="22"/>
          <w:szCs w:val="22"/>
        </w:rPr>
        <w:t xml:space="preserve">Human Priority: Member wellbeing is the supreme value. No HAIS output optimizes for financial return at the expense of members.</w:t>
      </w:r>
    </w:p>
    <w:p>
      <w:pPr>
        <w:pStyle w:val="ListParagraph"/>
        <w:numPr>
          <w:ilvl w:val="0"/>
          <w:numId w:val="2"/>
        </w:numPr>
        <w:spacing w:after="60" w:before="40"/>
      </w:pPr>
      <w:r>
        <w:rPr>
          <w:rFonts w:ascii="Arial" w:cs="Arial" w:eastAsia="Arial" w:hAnsi="Arial"/>
          <w:sz w:val="22"/>
          <w:szCs w:val="22"/>
        </w:rPr>
        <w:t xml:space="preserve">Transparency: Every HAIS decision is explainable in plain language upon request.</w:t>
      </w:r>
    </w:p>
    <w:p>
      <w:pPr>
        <w:pStyle w:val="ListParagraph"/>
        <w:numPr>
          <w:ilvl w:val="0"/>
          <w:numId w:val="2"/>
        </w:numPr>
        <w:spacing w:after="60" w:before="40"/>
      </w:pPr>
      <w:r>
        <w:rPr>
          <w:rFonts w:ascii="Arial" w:cs="Arial" w:eastAsia="Arial" w:hAnsi="Arial"/>
          <w:sz w:val="22"/>
          <w:szCs w:val="22"/>
        </w:rPr>
        <w:t xml:space="preserve">Non-Discrimination: Quarterly bias audits across all protected characteristics, results published publicly.</w:t>
      </w:r>
    </w:p>
    <w:p>
      <w:pPr>
        <w:pStyle w:val="ListParagraph"/>
        <w:numPr>
          <w:ilvl w:val="0"/>
          <w:numId w:val="2"/>
        </w:numPr>
        <w:spacing w:after="60" w:before="40"/>
      </w:pPr>
      <w:r>
        <w:rPr>
          <w:rFonts w:ascii="Arial" w:cs="Arial" w:eastAsia="Arial" w:hAnsi="Arial"/>
          <w:sz w:val="22"/>
          <w:szCs w:val="22"/>
        </w:rPr>
        <w:t xml:space="preserve">Human Override: Any HAIS decision may be appealed by an affected member to the Governing Council.</w:t>
      </w:r>
    </w:p>
    <w:p>
      <w:pPr>
        <w:pStyle w:val="ListParagraph"/>
        <w:numPr>
          <w:ilvl w:val="0"/>
          <w:numId w:val="2"/>
        </w:numPr>
        <w:spacing w:after="60" w:before="40"/>
      </w:pPr>
      <w:r>
        <w:rPr>
          <w:rFonts w:ascii="Arial" w:cs="Arial" w:eastAsia="Arial" w:hAnsi="Arial"/>
          <w:sz w:val="22"/>
          <w:szCs w:val="22"/>
        </w:rPr>
        <w:t xml:space="preserve">Data Sovereignty: Member data belongs to the member — never sold, shared with advertisers, or used for political purposes.</w:t>
      </w:r>
    </w:p>
    <w:p>
      <w:pPr>
        <w:pStyle w:val="ListParagraph"/>
        <w:numPr>
          <w:ilvl w:val="0"/>
          <w:numId w:val="2"/>
        </w:numPr>
        <w:spacing w:after="60" w:before="40"/>
      </w:pPr>
      <w:r>
        <w:rPr>
          <w:rFonts w:ascii="Arial" w:cs="Arial" w:eastAsia="Arial" w:hAnsi="Arial"/>
          <w:sz w:val="22"/>
          <w:szCs w:val="22"/>
        </w:rPr>
        <w:t xml:space="preserve">Mission Lock: The HAIS cannot be sold or repurposed without a supermajority member vote.</w:t>
      </w:r>
    </w:p>
    <w:p>
      <w:pPr>
        <w:spacing w:after="0" w:before="200"/>
      </w:pPr>
      <w:r>
        <w:t xml:space="preserve"/>
      </w:r>
    </w:p>
    <w:p>
      <w:r>
        <w:br w:type="page"/>
      </w:r>
    </w:p>
    <w:p>
      <w:pPr>
        <w:pStyle w:val="Heading2"/>
        <w:spacing w:after="120" w:before="240"/>
      </w:pPr>
      <w:r>
        <w:rPr>
          <w:rFonts w:ascii="Arial" w:cs="Arial" w:eastAsia="Arial" w:hAnsi="Arial"/>
          <w:b/>
          <w:bCs/>
          <w:color w:val="074D3A"/>
          <w:sz w:val="28"/>
          <w:szCs w:val="28"/>
        </w:rPr>
        <w:t xml:space="preserve">LEGAL STRUCTURE &amp; GOVERNANCE</w:t>
      </w:r>
    </w:p>
    <w:p>
      <w:pPr>
        <w:pBdr>
          <w:bottom w:val="single" w:color="074D3A" w:sz="6" w:space="1"/>
        </w:pBdr>
        <w:spacing w:after="0" w:before="0"/>
      </w:pPr>
      <w:r>
        <w:t xml:space="preserve"/>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6880"/>
      </w:tblGrid>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Legal Form</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Hybrid Nonprofit-Cooperative Organization (ORS Ch.65 Nonprofit + ORS Ch.62 Worker Cooperative)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Tax Status</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IRC §501(c)(3) nonprofit entity (ORS Ch.65) — all charitable giving and tax-deductible donations flow through the nonprofit. The worker cooperative (ORS Ch.62) does not receive tax-deductible donations.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Governing Body</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11-member Governing Council elected by members — including 2 AI Governance Oversight Officers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Membership Classes</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Individual Members (Lane County residents/workers) and Organizational Members (nonprofits, cooperatives, mission-aligned businesses)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Human Asset Fund</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Priority-deployed fund: emergency needs → guaranteed basic needs → training &amp; development → cooperative capacity → reserve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Anti-Extraction Guarantee</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net earnings to private individuals. All assets distributed to tax-exempt orgs upon dissolution. Legally encoded, not aspirational.</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Transparency</w:t>
            </w:r>
          </w:p>
        </w:tc>
        <w:tc>
          <w:tcPr>
            <w:tcW w:type="dxa" w:w="6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Monthly public Fund Dashboard; annual third-party HAIS audit; all code published open-source</w:t>
            </w:r>
          </w:p>
        </w:tc>
      </w:tr>
    </w:tbl>
    <w:p>
      <w:pPr>
        <w:spacing w:after="0" w:before="200"/>
      </w:pPr>
      <w:r>
        <w:t xml:space="preserve"/>
      </w:r>
    </w:p>
    <w:p>
      <w:pPr>
        <w:pStyle w:val="Heading2"/>
        <w:spacing w:after="120" w:before="240"/>
      </w:pPr>
      <w:r>
        <w:rPr>
          <w:rFonts w:ascii="Arial" w:cs="Arial" w:eastAsia="Arial" w:hAnsi="Arial"/>
          <w:b/>
          <w:bCs/>
          <w:color w:val="074D3A"/>
          <w:sz w:val="28"/>
          <w:szCs w:val="28"/>
        </w:rPr>
        <w:t xml:space="preserve">GROWTH ROADMAP</w:t>
      </w:r>
    </w:p>
    <w:p>
      <w:pPr>
        <w:pBdr>
          <w:bottom w:val="single" w:color="074D3A" w:sz="6" w:space="1"/>
        </w:pBdr>
        <w:spacing w:after="0" w:before="0"/>
      </w:pPr>
      <w:r>
        <w:t xml:space="preserve"/>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100"/>
        <w:gridCol w:w="900"/>
        <w:gridCol w:w="1200"/>
        <w:gridCol w:w="1800"/>
        <w:gridCol w:w="5080"/>
      </w:tblGrid>
      <w:tr>
        <w:trPr>
          <w:tblHeader/>
        </w:trPr>
        <w:tc>
          <w:tcPr>
            <w:tcW w:type="dxa" w:w="11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9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Year</w:t>
            </w:r>
          </w:p>
        </w:tc>
        <w:tc>
          <w:tcPr>
            <w:tcW w:type="dxa" w:w="12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Staff</w:t>
            </w:r>
          </w:p>
        </w:tc>
        <w:tc>
          <w:tcPr>
            <w:tcW w:type="dxa" w:w="18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Annual Budget</w:t>
            </w:r>
          </w:p>
        </w:tc>
        <w:tc>
          <w:tcPr>
            <w:tcW w:type="dxa" w:w="5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Key Milestones</w:t>
            </w:r>
          </w:p>
        </w:tc>
      </w:tr>
      <w:tr>
        <w:tc>
          <w:tcPr>
            <w:tcW w:type="dxa" w:w="11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19"/>
                <w:szCs w:val="19"/>
              </w:rPr>
              <w:t xml:space="preserve">Phase 1</w:t>
            </w:r>
          </w:p>
        </w:tc>
        <w:tc>
          <w:tcPr>
            <w:tcW w:type="dxa" w:w="900"/>
            <w:tcBorders>
              <w:top w:val="single" w:color="CCCCCC" w:sz="1"/>
              <w:left w:val="single" w:color="CCCCCC" w:sz="1"/>
              <w:bottom w:val="single" w:color="CCCCCC" w:sz="1"/>
              <w:right w:val="single" w:color="CCCCCC" w:sz="1"/>
            </w:tcBorders>
            <w:shd w:fill="E6F0FA" w:val="clear"/>
            <w:tcMar>
              <w:top w:type="dxa" w:w="80"/>
              <w:left w:type="dxa" w:w="100"/>
              <w:bottom w:type="dxa" w:w="80"/>
              <w:right w:type="dxa" w:w="100"/>
            </w:tcMar>
          </w:tcPr>
          <w:p>
            <w:r>
              <w:rPr>
                <w:rFonts w:ascii="Arial" w:cs="Arial" w:eastAsia="Arial" w:hAnsi="Arial"/>
                <w:sz w:val="19"/>
                <w:szCs w:val="19"/>
              </w:rPr>
              <w:t xml:space="preserve">2026</w:t>
            </w:r>
          </w:p>
        </w:tc>
        <w:tc>
          <w:tcPr>
            <w:tcW w:type="dxa" w:w="1200"/>
            <w:tcBorders>
              <w:top w:val="single" w:color="CCCCCC" w:sz="1"/>
              <w:left w:val="single" w:color="CCCCCC" w:sz="1"/>
              <w:bottom w:val="single" w:color="CCCCCC" w:sz="1"/>
              <w:right w:val="single" w:color="CCCCCC" w:sz="1"/>
            </w:tcBorders>
            <w:shd w:fill="E6F0FA" w:val="clear"/>
            <w:tcMar>
              <w:top w:type="dxa" w:w="80"/>
              <w:left w:type="dxa" w:w="100"/>
              <w:bottom w:type="dxa" w:w="80"/>
              <w:right w:type="dxa" w:w="100"/>
            </w:tcMar>
          </w:tcPr>
          <w:p>
            <w:r>
              <w:rPr>
                <w:rFonts w:ascii="Arial" w:cs="Arial" w:eastAsia="Arial" w:hAnsi="Arial"/>
                <w:sz w:val="19"/>
                <w:szCs w:val="19"/>
              </w:rPr>
              <w:t xml:space="preserve">2 + Council</w:t>
            </w:r>
          </w:p>
        </w:tc>
        <w:tc>
          <w:tcPr>
            <w:tcW w:type="dxa" w:w="1800"/>
            <w:tcBorders>
              <w:top w:val="single" w:color="CCCCCC" w:sz="1"/>
              <w:left w:val="single" w:color="CCCCCC" w:sz="1"/>
              <w:bottom w:val="single" w:color="CCCCCC" w:sz="1"/>
              <w:right w:val="single" w:color="CCCCCC" w:sz="1"/>
            </w:tcBorders>
            <w:shd w:fill="E6F0FA" w:val="clear"/>
            <w:tcMar>
              <w:top w:type="dxa" w:w="80"/>
              <w:left w:type="dxa" w:w="100"/>
              <w:bottom w:type="dxa" w:w="80"/>
              <w:right w:type="dxa" w:w="100"/>
            </w:tcMar>
          </w:tcPr>
          <w:p>
            <w:r>
              <w:rPr>
                <w:rFonts w:ascii="Arial" w:cs="Arial" w:eastAsia="Arial" w:hAnsi="Arial"/>
                <w:sz w:val="19"/>
                <w:szCs w:val="19"/>
              </w:rPr>
              <w:t xml:space="preserve">$27K–$50K launch</w:t>
            </w:r>
          </w:p>
        </w:tc>
        <w:tc>
          <w:tcPr>
            <w:tcW w:type="dxa" w:w="50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i/>
                <w:iCs/>
                <w:sz w:val="19"/>
                <w:szCs w:val="19"/>
              </w:rPr>
              <w:t xml:space="preserve">Legal formation, first 50 members, HAIS Phase 1 live, founding Org Members</w:t>
            </w:r>
          </w:p>
        </w:tc>
      </w:tr>
      <w:tr>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B3D6B"/>
                <w:sz w:val="19"/>
                <w:szCs w:val="19"/>
              </w:rPr>
              <w:t xml:space="preserve">Phase 2</w:t>
            </w:r>
          </w:p>
        </w:tc>
        <w:tc>
          <w:tcPr>
            <w:tcW w:type="dxa" w:w="9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2026</w:t>
            </w:r>
          </w:p>
        </w:tc>
        <w:tc>
          <w:tcPr>
            <w:tcW w:type="dxa" w:w="1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5 + Council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$263K–$338K/yr</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sz w:val="19"/>
                <w:szCs w:val="19"/>
              </w:rPr>
              <w:t xml:space="preserve">HAIS Employment Module live, 300+ members, resource matching, first grant secured</w:t>
            </w:r>
          </w:p>
        </w:tc>
      </w:tr>
      <w:tr>
        <w:tc>
          <w:tcPr>
            <w:tcW w:type="dxa" w:w="11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19"/>
                <w:szCs w:val="19"/>
              </w:rPr>
              <w:t xml:space="preserve">Phase 3</w:t>
            </w:r>
          </w:p>
        </w:tc>
        <w:tc>
          <w:tcPr>
            <w:tcW w:type="dxa" w:w="900"/>
            <w:tcBorders>
              <w:top w:val="single" w:color="CCCCCC" w:sz="1"/>
              <w:left w:val="single" w:color="CCCCCC" w:sz="1"/>
              <w:bottom w:val="single" w:color="CCCCCC" w:sz="1"/>
              <w:right w:val="single" w:color="CCCCCC" w:sz="1"/>
            </w:tcBorders>
            <w:shd w:fill="E6F0FA" w:val="clear"/>
            <w:tcMar>
              <w:top w:type="dxa" w:w="80"/>
              <w:left w:type="dxa" w:w="100"/>
              <w:bottom w:type="dxa" w:w="80"/>
              <w:right w:type="dxa" w:w="100"/>
            </w:tcMar>
          </w:tcPr>
          <w:p>
            <w:r>
              <w:rPr>
                <w:rFonts w:ascii="Arial" w:cs="Arial" w:eastAsia="Arial" w:hAnsi="Arial"/>
                <w:sz w:val="19"/>
                <w:szCs w:val="19"/>
              </w:rPr>
              <w:t xml:space="preserve">2027–29</w:t>
            </w:r>
          </w:p>
        </w:tc>
        <w:tc>
          <w:tcPr>
            <w:tcW w:type="dxa" w:w="1200"/>
            <w:tcBorders>
              <w:top w:val="single" w:color="CCCCCC" w:sz="1"/>
              <w:left w:val="single" w:color="CCCCCC" w:sz="1"/>
              <w:bottom w:val="single" w:color="CCCCCC" w:sz="1"/>
              <w:right w:val="single" w:color="CCCCCC" w:sz="1"/>
            </w:tcBorders>
            <w:shd w:fill="E6F0FA" w:val="clear"/>
            <w:tcMar>
              <w:top w:type="dxa" w:w="80"/>
              <w:left w:type="dxa" w:w="100"/>
              <w:bottom w:type="dxa" w:w="80"/>
              <w:right w:type="dxa" w:w="100"/>
            </w:tcMar>
          </w:tcPr>
          <w:p>
            <w:r>
              <w:rPr>
                <w:rFonts w:ascii="Arial" w:cs="Arial" w:eastAsia="Arial" w:hAnsi="Arial"/>
                <w:sz w:val="19"/>
                <w:szCs w:val="19"/>
              </w:rPr>
              <w:t xml:space="preserve">9 + Council</w:t>
            </w:r>
          </w:p>
        </w:tc>
        <w:tc>
          <w:tcPr>
            <w:tcW w:type="dxa" w:w="1800"/>
            <w:tcBorders>
              <w:top w:val="single" w:color="CCCCCC" w:sz="1"/>
              <w:left w:val="single" w:color="CCCCCC" w:sz="1"/>
              <w:bottom w:val="single" w:color="CCCCCC" w:sz="1"/>
              <w:right w:val="single" w:color="CCCCCC" w:sz="1"/>
            </w:tcBorders>
            <w:shd w:fill="E6F0FA" w:val="clear"/>
            <w:tcMar>
              <w:top w:type="dxa" w:w="80"/>
              <w:left w:type="dxa" w:w="100"/>
              <w:bottom w:type="dxa" w:w="80"/>
              <w:right w:type="dxa" w:w="100"/>
            </w:tcMar>
          </w:tcPr>
          <w:p>
            <w:r>
              <w:rPr>
                <w:rFonts w:ascii="Arial" w:cs="Arial" w:eastAsia="Arial" w:hAnsi="Arial"/>
                <w:sz w:val="19"/>
                <w:szCs w:val="19"/>
              </w:rPr>
              <w:t xml:space="preserve">$589K–$750K/yr</w:t>
            </w:r>
          </w:p>
        </w:tc>
        <w:tc>
          <w:tcPr>
            <w:tcW w:type="dxa" w:w="50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i/>
                <w:iCs/>
                <w:sz w:val="19"/>
                <w:szCs w:val="19"/>
              </w:rPr>
              <w:t xml:space="preserve">500+ members, Green Jobs Pipeline, first worker cooperative incubation cohort</w:t>
            </w:r>
          </w:p>
        </w:tc>
      </w:tr>
      <w:tr>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B3D6B"/>
                <w:sz w:val="19"/>
                <w:szCs w:val="19"/>
              </w:rPr>
              <w:t xml:space="preserve">Phase 4</w:t>
            </w:r>
          </w:p>
        </w:tc>
        <w:tc>
          <w:tcPr>
            <w:tcW w:type="dxa" w:w="9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2029+</w:t>
            </w:r>
          </w:p>
        </w:tc>
        <w:tc>
          <w:tcPr>
            <w:tcW w:type="dxa" w:w="1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14 + Council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9"/>
                <w:szCs w:val="19"/>
              </w:rPr>
              <w:t xml:space="preserve">$1.0M–$1.3M/yr</w:t>
            </w:r>
          </w:p>
        </w:tc>
        <w:tc>
          <w:tcPr>
            <w:tcW w:type="dxa" w:w="5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sz w:val="19"/>
                <w:szCs w:val="19"/>
              </w:rPr>
              <w:t xml:space="preserve">1,000+ members, full HAIS deployment, HAC Federation launch, first dividend</w:t>
            </w:r>
          </w:p>
        </w:tc>
      </w:tr>
      <w:tr>
        <w:tc>
          <w:tcPr>
            <w:tcW w:type="dxa" w:w="11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0B3D6B"/>
                <w:sz w:val="19"/>
                <w:szCs w:val="19"/>
              </w:rPr>
              <w:t xml:space="preserve">Full Scale</w:t>
            </w:r>
          </w:p>
        </w:tc>
        <w:tc>
          <w:tcPr>
            <w:tcW w:type="dxa" w:w="900"/>
            <w:tcBorders>
              <w:top w:val="single" w:color="CCCCCC" w:sz="1"/>
              <w:left w:val="single" w:color="CCCCCC" w:sz="1"/>
              <w:bottom w:val="single" w:color="CCCCCC" w:sz="1"/>
              <w:right w:val="single" w:color="CCCCCC" w:sz="1"/>
            </w:tcBorders>
            <w:shd w:fill="E1F5EE" w:val="clear"/>
            <w:tcMar>
              <w:top w:type="dxa" w:w="80"/>
              <w:left w:type="dxa" w:w="100"/>
              <w:bottom w:type="dxa" w:w="80"/>
              <w:right w:type="dxa" w:w="100"/>
            </w:tcMar>
          </w:tcPr>
          <w:p>
            <w:r>
              <w:rPr>
                <w:rFonts w:ascii="Arial" w:cs="Arial" w:eastAsia="Arial" w:hAnsi="Arial"/>
                <w:sz w:val="19"/>
                <w:szCs w:val="19"/>
              </w:rPr>
              <w:t xml:space="preserve">2032+</w:t>
            </w:r>
          </w:p>
        </w:tc>
        <w:tc>
          <w:tcPr>
            <w:tcW w:type="dxa" w:w="1200"/>
            <w:tcBorders>
              <w:top w:val="single" w:color="CCCCCC" w:sz="1"/>
              <w:left w:val="single" w:color="CCCCCC" w:sz="1"/>
              <w:bottom w:val="single" w:color="CCCCCC" w:sz="1"/>
              <w:right w:val="single" w:color="CCCCCC" w:sz="1"/>
            </w:tcBorders>
            <w:shd w:fill="E1F5EE" w:val="clear"/>
            <w:tcMar>
              <w:top w:type="dxa" w:w="80"/>
              <w:left w:type="dxa" w:w="100"/>
              <w:bottom w:type="dxa" w:w="80"/>
              <w:right w:type="dxa" w:w="100"/>
            </w:tcMar>
          </w:tcPr>
          <w:p>
            <w:r>
              <w:rPr>
                <w:rFonts w:ascii="Arial" w:cs="Arial" w:eastAsia="Arial" w:hAnsi="Arial"/>
                <w:sz w:val="19"/>
                <w:szCs w:val="19"/>
              </w:rPr>
              <w:t xml:space="preserve">~20 + Council</w:t>
            </w:r>
          </w:p>
        </w:tc>
        <w:tc>
          <w:tcPr>
            <w:tcW w:type="dxa" w:w="1800"/>
            <w:tcBorders>
              <w:top w:val="single" w:color="CCCCCC" w:sz="1"/>
              <w:left w:val="single" w:color="CCCCCC" w:sz="1"/>
              <w:bottom w:val="single" w:color="CCCCCC" w:sz="1"/>
              <w:right w:val="single" w:color="CCCCCC" w:sz="1"/>
            </w:tcBorders>
            <w:shd w:fill="E1F5EE" w:val="clear"/>
            <w:tcMar>
              <w:top w:type="dxa" w:w="80"/>
              <w:left w:type="dxa" w:w="100"/>
              <w:bottom w:type="dxa" w:w="80"/>
              <w:right w:type="dxa" w:w="100"/>
            </w:tcMar>
          </w:tcPr>
          <w:p>
            <w:r>
              <w:rPr>
                <w:rFonts w:ascii="Arial" w:cs="Arial" w:eastAsia="Arial" w:hAnsi="Arial"/>
                <w:sz w:val="19"/>
                <w:szCs w:val="19"/>
              </w:rPr>
              <w:t xml:space="preserve">$1.4M–$1.8M/yr</w:t>
            </w:r>
          </w:p>
        </w:tc>
        <w:tc>
          <w:tcPr>
            <w:tcW w:type="dxa" w:w="50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i/>
                <w:iCs/>
                <w:sz w:val="19"/>
                <w:szCs w:val="19"/>
              </w:rPr>
              <w:t xml:space="preserve">3,000–5,000+ members, national federation, HAIS fully autonomous within governance framework</w:t>
            </w:r>
          </w:p>
        </w:tc>
      </w:tr>
    </w:tbl>
    <w:p>
      <w:pPr>
        <w:spacing w:after="0" w:before="14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590A" w:sz="4"/>
              <w:left w:val="single" w:color="B8590A" w:sz="4"/>
              <w:bottom w:val="single" w:color="B8590A" w:sz="4"/>
              <w:right w:val="single" w:color="B8590A" w:sz="4"/>
            </w:tcBorders>
            <w:shd w:fill="FDF0E3"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At full scale, HAC-ES serves more members per paid staff member than any comparable conventional nonprofit — because the HAIS absorbs administrative work that would otherwise require 40–50 staff. Every human hire fills a gap the AI genuinely cannot fill: governance, relationships, accountability.</w:t>
            </w:r>
          </w:p>
        </w:tc>
      </w:tr>
    </w:tbl>
    <w:p>
      <w:pPr>
        <w:spacing w:after="0" w:before="200"/>
      </w:pPr>
      <w:r>
        <w:t xml:space="preserve"/>
      </w:r>
    </w:p>
    <w:p>
      <w:r>
        <w:br w:type="page"/>
      </w:r>
    </w:p>
    <w:p>
      <w:pPr>
        <w:pStyle w:val="Heading2"/>
        <w:spacing w:after="120" w:before="240"/>
      </w:pPr>
      <w:r>
        <w:rPr>
          <w:rFonts w:ascii="Arial" w:cs="Arial" w:eastAsia="Arial" w:hAnsi="Arial"/>
          <w:b/>
          <w:bCs/>
          <w:color w:val="074D3A"/>
          <w:sz w:val="28"/>
          <w:szCs w:val="28"/>
        </w:rPr>
        <w:t xml:space="preserve">FUNDING OPPORTUNITY</w:t>
      </w:r>
    </w:p>
    <w:p>
      <w:pPr>
        <w:pBdr>
          <w:bottom w:val="single" w:color="074D3A" w:sz="6" w:space="1"/>
        </w:pBdr>
        <w:spacing w:after="0" w:before="0"/>
      </w:pPr>
      <w:r>
        <w:t xml:space="preserve"/>
      </w:r>
    </w:p>
    <w:p>
      <w:pPr>
        <w:spacing w:after="0" w:before="80"/>
      </w:pPr>
      <w:r>
        <w:t xml:space="preserve"/>
      </w:r>
    </w:p>
    <w:p>
      <w:pPr>
        <w:spacing w:after="80" w:before="200"/>
      </w:pPr>
      <w:r>
        <w:rPr>
          <w:rFonts w:ascii="Arial" w:cs="Arial" w:eastAsia="Arial" w:hAnsi="Arial"/>
          <w:b/>
          <w:bCs/>
          <w:color w:val="0B3D6B"/>
          <w:sz w:val="23"/>
          <w:szCs w:val="23"/>
        </w:rPr>
        <w:t xml:space="preserve">Phase 1 Launch Capital: $27,000–$50,000</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80"/>
        <w:gridCol w:w="4000"/>
      </w:tblGrid>
      <w:tr>
        <w:tc>
          <w:tcPr>
            <w:tcW w:type="dxa" w:w="6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Legal formation, Oregon filing fees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$2,500–$4,000</w:t>
            </w:r>
          </w:p>
        </w:tc>
      </w:tr>
      <w:tr>
        <w:tc>
          <w:tcPr>
            <w:tcW w:type="dxa" w:w="6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HAIS Phase 1 platform (AI API + basic web platform)</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$3,000–$8,000</w:t>
            </w:r>
          </w:p>
        </w:tc>
      </w:tr>
      <w:tr>
        <w:tc>
          <w:tcPr>
            <w:tcW w:type="dxa" w:w="6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Communications &amp; member recruitment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$1,500–$3,000</w:t>
            </w:r>
          </w:p>
        </w:tc>
      </w:tr>
      <w:tr>
        <w:tc>
          <w:tcPr>
            <w:tcW w:type="dxa" w:w="6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First pilot program (food security, 100 members, 6 months)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$15,000–$25,000</w:t>
            </w:r>
          </w:p>
        </w:tc>
      </w:tr>
      <w:tr>
        <w:tc>
          <w:tcPr>
            <w:tcW w:type="dxa" w:w="60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Operations &amp; administration (6 months)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$5,000–$10,000</w:t>
            </w:r>
          </w:p>
        </w:tc>
      </w:tr>
    </w:tbl>
    <w:p>
      <w:pPr>
        <w:spacing w:after="0" w:before="160"/>
      </w:pPr>
      <w:r>
        <w:t xml:space="preserve"/>
      </w:r>
    </w:p>
    <w:p>
      <w:pPr>
        <w:spacing w:after="80" w:before="200"/>
      </w:pPr>
      <w:r>
        <w:rPr>
          <w:rFonts w:ascii="Arial" w:cs="Arial" w:eastAsia="Arial" w:hAnsi="Arial"/>
          <w:b/>
          <w:bCs/>
          <w:color w:val="0B3D6B"/>
          <w:sz w:val="23"/>
          <w:szCs w:val="23"/>
        </w:rPr>
        <w:t xml:space="preserve">Year 1 Employment Strategy: $170,000–$395,000</w:t>
      </w:r>
    </w:p>
    <w:p>
      <w:pPr>
        <w:spacing w:after="100" w:before="60"/>
        <w:jc w:val="left"/>
      </w:pPr>
      <w:r>
        <w:rPr>
          <w:rFonts w:ascii="Arial" w:cs="Arial" w:eastAsia="Arial" w:hAnsi="Arial"/>
          <w:b w:val="false"/>
          <w:bCs w:val="false"/>
          <w:i w:val="false"/>
          <w:iCs w:val="false"/>
          <w:color w:val="1C1C1A"/>
          <w:sz w:val="22"/>
          <w:szCs w:val="22"/>
        </w:rPr>
        <w:t xml:space="preserve">The majority is grant-fundable through aligned institutional sources:</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00"/>
        <w:gridCol w:w="1900"/>
        <w:gridCol w:w="4680"/>
      </w:tblGrid>
      <w:tr>
        <w:trPr>
          <w:tblHeader/>
        </w:trPr>
        <w:tc>
          <w:tcPr>
            <w:tcW w:type="dxa" w:w="35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Funder</w:t>
            </w:r>
          </w:p>
        </w:tc>
        <w:tc>
          <w:tcPr>
            <w:tcW w:type="dxa" w:w="19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Range</w:t>
            </w:r>
          </w:p>
        </w:tc>
        <w:tc>
          <w:tcPr>
            <w:tcW w:type="dxa" w:w="46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HAC-ES Alignment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WIOA Title I (via Lane Workforce Partnership)</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$100K–$500K/yr</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Federal workforce development; direct member eligibility</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IRA Workforce Provisions (clean energy)</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$50K–$300K</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Clean energy trades training in disadvantaged communities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MacArthur Foundation — Just Economies</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$200K–$2M</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Worker ownership, economic democracy — direct fit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Ford Foundation — Future of Work</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$200K–$1.5M</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Worker ownership, cooperative development — central use case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Oregon Community Foundation</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$50K–$300K</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Lane County workforce development; local funder relationships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NSF Civic Innovation Challenge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Up to $1M</w:t>
            </w:r>
          </w:p>
        </w:tc>
        <w:tc>
          <w:tcPr>
            <w:tcW w:type="dxa" w:w="4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UO partnership + HAIS Employment Module = strong Stage 1 application</w:t>
            </w:r>
          </w:p>
        </w:tc>
      </w:tr>
    </w:tbl>
    <w:p>
      <w:pPr>
        <w:spacing w:after="0" w:before="200"/>
      </w:pPr>
      <w:r>
        <w:t xml:space="preserve"/>
      </w:r>
    </w:p>
    <w:p>
      <w:pPr>
        <w:pStyle w:val="Heading2"/>
        <w:spacing w:after="120" w:before="240"/>
      </w:pPr>
      <w:r>
        <w:rPr>
          <w:rFonts w:ascii="Arial" w:cs="Arial" w:eastAsia="Arial" w:hAnsi="Arial"/>
          <w:b/>
          <w:bCs/>
          <w:color w:val="074D3A"/>
          <w:sz w:val="28"/>
          <w:szCs w:val="28"/>
        </w:rPr>
        <w:t xml:space="preserve">WAYS TO SUPPORT HAC-ES</w:t>
      </w:r>
    </w:p>
    <w:p>
      <w:pPr>
        <w:pBdr>
          <w:bottom w:val="single" w:color="074D3A"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HAC-ES offers multiple giving mechanisms to match every donor’s situation:</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8080"/>
      </w:tblGrid>
      <w:tr>
        <w:tc>
          <w:tcPr>
            <w:tcW w:type="dxa" w:w="2000"/>
            <w:tcBorders>
              <w:top w:val="single" w:color="CCCCCC" w:sz="1"/>
              <w:left w:val="single" w:color="CCCCCC" w:sz="1"/>
              <w:bottom w:val="single" w:color="CCCCCC" w:sz="1"/>
              <w:right w:val="single" w:color="CCCCCC" w:sz="1"/>
            </w:tcBorders>
            <w:shd w:fill="0B3D6B" w:val="clear"/>
            <w:tcMar>
              <w:top w:type="dxa" w:w="100"/>
              <w:left w:type="dxa" w:w="140"/>
              <w:bottom w:type="dxa" w:w="100"/>
              <w:right w:type="dxa" w:w="140"/>
            </w:tcMar>
            <w:vAlign w:val="center"/>
          </w:tcPr>
          <w:p>
            <w:pPr>
              <w:jc w:val="center"/>
            </w:pPr>
            <w:r>
              <w:rPr>
                <w:rFonts w:ascii="Arial" w:cs="Arial" w:eastAsia="Arial" w:hAnsi="Arial"/>
                <w:b/>
                <w:bCs/>
                <w:color w:val="FFFFFF"/>
                <w:sz w:val="21"/>
                <w:szCs w:val="21"/>
              </w:rPr>
              <w:t xml:space="preserve">Direct Gift</w:t>
            </w:r>
          </w:p>
        </w:tc>
        <w:tc>
          <w:tcPr>
            <w:tcW w:type="dxa" w:w="808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Cash gifts to the Human Asset Fund are deployed immediately through the priority hierarchy — emergency needs first, then guaranteed basic needs, training, and cooperative development.</w:t>
            </w:r>
          </w:p>
        </w:tc>
      </w:tr>
      <w:tr>
        <w:tc>
          <w:tcPr>
            <w:tcW w:type="dxa" w:w="2000"/>
            <w:tcBorders>
              <w:top w:val="single" w:color="CCCCCC" w:sz="1"/>
              <w:left w:val="single" w:color="CCCCCC" w:sz="1"/>
              <w:bottom w:val="single" w:color="CCCCCC" w:sz="1"/>
              <w:right w:val="single" w:color="CCCCCC" w:sz="1"/>
            </w:tcBorders>
            <w:shd w:fill="0D7A5A" w:val="clear"/>
            <w:tcMar>
              <w:top w:type="dxa" w:w="100"/>
              <w:left w:type="dxa" w:w="140"/>
              <w:bottom w:type="dxa" w:w="100"/>
              <w:right w:type="dxa" w:w="140"/>
            </w:tcMar>
            <w:vAlign w:val="center"/>
          </w:tcPr>
          <w:p>
            <w:pPr>
              <w:jc w:val="center"/>
            </w:pPr>
            <w:r>
              <w:rPr>
                <w:rFonts w:ascii="Arial" w:cs="Arial" w:eastAsia="Arial" w:hAnsi="Arial"/>
                <w:b/>
                <w:bCs/>
                <w:color w:val="FFFFFF"/>
                <w:sz w:val="21"/>
                <w:szCs w:val="21"/>
              </w:rPr>
              <w:t xml:space="preserve">Appreciated Securities</w:t>
            </w:r>
          </w:p>
        </w:tc>
        <w:tc>
          <w:tcPr>
            <w:tcW w:type="dxa" w:w="808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Donating appreciated stocks directly avoids capital gains tax entirely and delivers 25–35% more effective value to the Cooperative than an equivalent cash gift.</w:t>
            </w:r>
          </w:p>
        </w:tc>
      </w:tr>
      <w:tr>
        <w:tc>
          <w:tcPr>
            <w:tcW w:type="dxa" w:w="2000"/>
            <w:tcBorders>
              <w:top w:val="single" w:color="CCCCCC" w:sz="1"/>
              <w:left w:val="single" w:color="CCCCCC" w:sz="1"/>
              <w:bottom w:val="single" w:color="CCCCCC" w:sz="1"/>
              <w:right w:val="single" w:color="CCCCCC" w:sz="1"/>
            </w:tcBorders>
            <w:shd w:fill="1B5C9A" w:val="clear"/>
            <w:tcMar>
              <w:top w:type="dxa" w:w="100"/>
              <w:left w:type="dxa" w:w="140"/>
              <w:bottom w:type="dxa" w:w="100"/>
              <w:right w:type="dxa" w:w="140"/>
            </w:tcMar>
            <w:vAlign w:val="center"/>
          </w:tcPr>
          <w:p>
            <w:pPr>
              <w:jc w:val="center"/>
            </w:pPr>
            <w:r>
              <w:rPr>
                <w:rFonts w:ascii="Arial" w:cs="Arial" w:eastAsia="Arial" w:hAnsi="Arial"/>
                <w:b/>
                <w:bCs/>
                <w:color w:val="FFFFFF"/>
                <w:sz w:val="21"/>
                <w:szCs w:val="21"/>
              </w:rPr>
              <w:t xml:space="preserve">Community Investment Notes</w:t>
            </w:r>
          </w:p>
        </w:tc>
        <w:tc>
          <w:tcPr>
            <w:tcW w:type="dxa" w:w="808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Fixed-term debt instruments (3, 5, or 7 years) at 1–4% interest. Your capital goes to work in the community and is returned at maturity. Minimum $1,000.</w:t>
            </w:r>
          </w:p>
        </w:tc>
      </w:tr>
      <w:tr>
        <w:tc>
          <w:tcPr>
            <w:tcW w:type="dxa" w:w="2000"/>
            <w:tcBorders>
              <w:top w:val="single" w:color="CCCCCC" w:sz="1"/>
              <w:left w:val="single" w:color="CCCCCC" w:sz="1"/>
              <w:bottom w:val="single" w:color="CCCCCC" w:sz="1"/>
              <w:right w:val="single" w:color="CCCCCC" w:sz="1"/>
            </w:tcBorders>
            <w:shd w:fill="B8590A" w:val="clear"/>
            <w:tcMar>
              <w:top w:type="dxa" w:w="100"/>
              <w:left w:type="dxa" w:w="140"/>
              <w:bottom w:type="dxa" w:w="100"/>
              <w:right w:type="dxa" w:w="140"/>
            </w:tcMar>
            <w:vAlign w:val="center"/>
          </w:tcPr>
          <w:p>
            <w:pPr>
              <w:jc w:val="center"/>
            </w:pPr>
            <w:r>
              <w:rPr>
                <w:rFonts w:ascii="Arial" w:cs="Arial" w:eastAsia="Arial" w:hAnsi="Arial"/>
                <w:b/>
                <w:bCs/>
                <w:color w:val="FFFFFF"/>
                <w:sz w:val="21"/>
                <w:szCs w:val="21"/>
              </w:rPr>
              <w:t xml:space="preserve">Collateral Pledge</w:t>
            </w:r>
          </w:p>
        </w:tc>
        <w:tc>
          <w:tcPr>
            <w:tcW w:type="dxa" w:w="808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Homeowners may pledge equity as collateral for HAC-ES institutional loans — 5–10x leverage with no transfer of assets. Released when no longer needed.</w:t>
            </w:r>
          </w:p>
        </w:tc>
      </w:tr>
      <w:tr>
        <w:tc>
          <w:tcPr>
            <w:tcW w:type="dxa" w:w="2000"/>
            <w:tcBorders>
              <w:top w:val="single" w:color="CCCCCC" w:sz="1"/>
              <w:left w:val="single" w:color="CCCCCC" w:sz="1"/>
              <w:bottom w:val="single" w:color="CCCCCC" w:sz="1"/>
              <w:right w:val="single" w:color="CCCCCC" w:sz="1"/>
            </w:tcBorders>
            <w:shd w:fill="4A7C59" w:val="clear"/>
            <w:tcMar>
              <w:top w:type="dxa" w:w="100"/>
              <w:left w:type="dxa" w:w="140"/>
              <w:bottom w:type="dxa" w:w="100"/>
              <w:right w:type="dxa" w:w="140"/>
            </w:tcMar>
            <w:vAlign w:val="center"/>
          </w:tcPr>
          <w:p>
            <w:pPr>
              <w:jc w:val="center"/>
            </w:pPr>
            <w:r>
              <w:rPr>
                <w:rFonts w:ascii="Arial" w:cs="Arial" w:eastAsia="Arial" w:hAnsi="Arial"/>
                <w:b/>
                <w:bCs/>
                <w:color w:val="FFFFFF"/>
                <w:sz w:val="21"/>
                <w:szCs w:val="21"/>
              </w:rPr>
              <w:t xml:space="preserve">Real Estate / CLT</w:t>
            </w:r>
          </w:p>
        </w:tc>
        <w:tc>
          <w:tcPr>
            <w:tcW w:type="dxa" w:w="808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Donating or selling property below market value to the HAC-ES Community Land Trust creates permanently affordable housing. Significant charitable tax deduction. Infinite community leverage.</w:t>
            </w:r>
          </w:p>
        </w:tc>
      </w:tr>
    </w:tbl>
    <w:p>
      <w:pPr>
        <w:spacing w:after="0" w:before="200"/>
      </w:pPr>
      <w:r>
        <w:t xml:space="preserve"/>
      </w:r>
    </w:p>
    <w:p>
      <w:r>
        <w:br w:type="page"/>
      </w:r>
    </w:p>
    <w:p>
      <w:pPr>
        <w:pStyle w:val="Heading2"/>
        <w:spacing w:after="120" w:before="240"/>
      </w:pPr>
      <w:r>
        <w:rPr>
          <w:rFonts w:ascii="Arial" w:cs="Arial" w:eastAsia="Arial" w:hAnsi="Arial"/>
          <w:b/>
          <w:bCs/>
          <w:color w:val="074D3A"/>
          <w:sz w:val="28"/>
          <w:szCs w:val="28"/>
        </w:rPr>
        <w:t xml:space="preserve">WHY NOW</w:t>
      </w:r>
    </w:p>
    <w:p>
      <w:pPr>
        <w:pBdr>
          <w:bottom w:val="single" w:color="074D3A" w:sz="6" w:space="1"/>
        </w:pBdr>
        <w:spacing w:after="0" w:before="0"/>
      </w:pPr>
      <w:r>
        <w:t xml:space="preserve"/>
      </w:r>
    </w:p>
    <w:p>
      <w:pPr>
        <w:spacing w:after="0" w:before="80"/>
      </w:pPr>
      <w:r>
        <w:t xml:space="preserve"/>
      </w:r>
    </w:p>
    <w:p>
      <w:pPr>
        <w:spacing w:after="100" w:before="60"/>
        <w:jc w:val="left"/>
      </w:pPr>
      <w:r>
        <w:rPr>
          <w:rFonts w:ascii="Arial" w:cs="Arial" w:eastAsia="Arial" w:hAnsi="Arial"/>
          <w:b w:val="false"/>
          <w:bCs w:val="false"/>
          <w:i w:val="false"/>
          <w:iCs w:val="false"/>
          <w:color w:val="1C1C1A"/>
          <w:sz w:val="22"/>
          <w:szCs w:val="22"/>
        </w:rPr>
        <w:t xml:space="preserve">Three forces converge to make 2025 the moment for HAC-ES: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single" w:color="CCCCCC" w:sz="1"/>
              <w:left w:val="single" w:color="CCCCCC" w:sz="1"/>
              <w:bottom w:val="single" w:color="CCCCCC" w:sz="1"/>
              <w:right w:val="single" w:color="CCCCCC" w:sz="1"/>
            </w:tcBorders>
            <w:shd w:fill="E6F0FA" w:val="clear"/>
            <w:tcMar>
              <w:top w:type="dxa" w:w="160"/>
              <w:left w:type="dxa" w:w="200"/>
              <w:bottom w:type="dxa" w:w="160"/>
              <w:right w:type="dxa" w:w="200"/>
            </w:tcMar>
          </w:tcPr>
          <w:p>
            <w:pPr>
              <w:spacing w:after="80" w:before="0"/>
              <w:jc w:val="center"/>
            </w:pPr>
            <w:r>
              <w:rPr>
                <w:rFonts w:ascii="Arial" w:cs="Arial" w:eastAsia="Arial" w:hAnsi="Arial"/>
                <w:b/>
                <w:bCs/>
                <w:color w:val="0B3D6B"/>
                <w:sz w:val="23"/>
                <w:szCs w:val="23"/>
              </w:rPr>
              <w:t xml:space="preserve">A Frozen Job Market</w:t>
            </w:r>
          </w:p>
          <w:p>
            <w:pPr>
              <w:spacing w:after="0" w:before="0"/>
              <w:jc w:val="center"/>
            </w:pPr>
            <w:r>
              <w:rPr>
                <w:rFonts w:ascii="Arial" w:cs="Arial" w:eastAsia="Arial" w:hAnsi="Arial"/>
                <w:color w:val="3D3D3A"/>
                <w:sz w:val="20"/>
                <w:szCs w:val="20"/>
              </w:rPr>
              <w:t xml:space="preserve">Lane County’s labor market is at its worst since the pandemic. Conventional programs are failing. The urgency for a structural solution has never been clearer.</w:t>
            </w:r>
          </w:p>
        </w:tc>
        <w:tc>
          <w:tcPr>
            <w:tcW w:type="dxa" w:w="3360"/>
            <w:tcBorders>
              <w:top w:val="single" w:color="CCCCCC" w:sz="1"/>
              <w:left w:val="single" w:color="CCCCCC" w:sz="1"/>
              <w:bottom w:val="single" w:color="CCCCCC" w:sz="1"/>
              <w:right w:val="single" w:color="CCCCCC" w:sz="1"/>
            </w:tcBorders>
            <w:shd w:fill="E1F5EE" w:val="clear"/>
            <w:tcMar>
              <w:top w:type="dxa" w:w="160"/>
              <w:left w:type="dxa" w:w="200"/>
              <w:bottom w:type="dxa" w:w="160"/>
              <w:right w:type="dxa" w:w="200"/>
            </w:tcMar>
          </w:tcPr>
          <w:p>
            <w:pPr>
              <w:spacing w:after="80" w:before="0"/>
              <w:jc w:val="center"/>
            </w:pPr>
            <w:r>
              <w:rPr>
                <w:rFonts w:ascii="Arial" w:cs="Arial" w:eastAsia="Arial" w:hAnsi="Arial"/>
                <w:b/>
                <w:bCs/>
                <w:color w:val="074D3A"/>
                <w:sz w:val="23"/>
                <w:szCs w:val="23"/>
              </w:rPr>
              <w:t xml:space="preserve">The Green Jobs Wave</w:t>
            </w:r>
          </w:p>
          <w:p>
            <w:pPr>
              <w:spacing w:after="0" w:before="0"/>
              <w:jc w:val="center"/>
            </w:pPr>
            <w:r>
              <w:rPr>
                <w:rFonts w:ascii="Arial" w:cs="Arial" w:eastAsia="Arial" w:hAnsi="Arial"/>
                <w:color w:val="3D3D3A"/>
                <w:sz w:val="20"/>
                <w:szCs w:val="20"/>
              </w:rPr>
              <w:t xml:space="preserve">The IRA has created the largest clean energy job opportunity in Lane County history. HAC-ES is positioned to connect the workers who most need good jobs to this wave before it crests.</w:t>
            </w:r>
          </w:p>
        </w:tc>
        <w:tc>
          <w:tcPr>
            <w:tcW w:type="dxa" w:w="3360"/>
            <w:tcBorders>
              <w:top w:val="single" w:color="CCCCCC" w:sz="1"/>
              <w:left w:val="single" w:color="CCCCCC" w:sz="1"/>
              <w:bottom w:val="single" w:color="CCCCCC" w:sz="1"/>
              <w:right w:val="single" w:color="CCCCCC" w:sz="1"/>
            </w:tcBorders>
            <w:shd w:fill="FDF0E3" w:val="clear"/>
            <w:tcMar>
              <w:top w:type="dxa" w:w="160"/>
              <w:left w:type="dxa" w:w="200"/>
              <w:bottom w:type="dxa" w:w="160"/>
              <w:right w:type="dxa" w:w="200"/>
            </w:tcMar>
          </w:tcPr>
          <w:p>
            <w:pPr>
              <w:spacing w:after="80" w:before="0"/>
              <w:jc w:val="center"/>
            </w:pPr>
            <w:r>
              <w:rPr>
                <w:rFonts w:ascii="Arial" w:cs="Arial" w:eastAsia="Arial" w:hAnsi="Arial"/>
                <w:b/>
                <w:bCs/>
                <w:color w:val="B8590A"/>
                <w:sz w:val="23"/>
                <w:szCs w:val="23"/>
              </w:rPr>
              <w:t xml:space="preserve">AI Costs Have Collapsed</w:t>
            </w:r>
          </w:p>
          <w:p>
            <w:pPr>
              <w:spacing w:after="0" w:before="0"/>
              <w:jc w:val="center"/>
            </w:pPr>
            <w:r>
              <w:rPr>
                <w:rFonts w:ascii="Arial" w:cs="Arial" w:eastAsia="Arial" w:hAnsi="Arial"/>
                <w:color w:val="3D3D3A"/>
                <w:sz w:val="20"/>
                <w:szCs w:val="20"/>
              </w:rPr>
              <w:t xml:space="preserve">The AI tools that power the HAIS now cost a fraction of what they did five years ago. A community cooperative can build governance infrastructure that previously required enterprise budgets.</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280"/>
              <w:left w:type="dxa" w:w="480"/>
              <w:bottom w:type="dxa" w:w="280"/>
              <w:right w:type="dxa" w:w="480"/>
            </w:tcMar>
          </w:tcPr>
          <w:p>
            <w:pPr>
              <w:spacing w:after="100" w:before="0"/>
              <w:jc w:val="center"/>
            </w:pPr>
            <w:r>
              <w:rPr>
                <w:rFonts w:ascii="Arial" w:cs="Arial" w:eastAsia="Arial" w:hAnsi="Arial"/>
                <w:b/>
                <w:bCs/>
                <w:color w:val="FFFFFF"/>
                <w:sz w:val="28"/>
                <w:szCs w:val="28"/>
              </w:rPr>
              <w:t xml:space="preserve">Every human being is an asset. HAC-ES is how Eugene-Springfield proves it.</w:t>
            </w:r>
          </w:p>
          <w:p>
            <w:pPr>
              <w:spacing w:after="100" w:before="0"/>
              <w:jc w:val="center"/>
            </w:pPr>
            <w:r>
              <w:rPr>
                <w:rFonts w:ascii="Arial" w:cs="Arial" w:eastAsia="Arial" w:hAnsi="Arial"/>
                <w:color w:val="8BBFE8"/>
                <w:sz w:val="22"/>
                <w:szCs w:val="22"/>
              </w:rPr>
              <w:t xml:space="preserve">Your investment in HAC-ES is an investment in a community that takes care of its own —</w:t>
            </w:r>
          </w:p>
          <w:p>
            <w:pPr>
              <w:spacing w:after="0" w:before="0"/>
              <w:jc w:val="center"/>
            </w:pPr>
            <w:r>
              <w:rPr>
                <w:rFonts w:ascii="Arial" w:cs="Arial" w:eastAsia="Arial" w:hAnsi="Arial"/>
                <w:b/>
                <w:bCs/>
                <w:color w:val="1AAF7A"/>
                <w:sz w:val="22"/>
                <w:szCs w:val="22"/>
              </w:rPr>
              <w:t xml:space="preserve">not through charity, but through cooperative economic power.</w:t>
            </w:r>
          </w:p>
        </w:tc>
      </w:tr>
    </w:tbl>
    <w:p>
      <w:pPr>
        <w:spacing w:after="0" w:before="140"/>
      </w:pPr>
      <w:r>
        <w:t xml:space="preserve"/>
      </w:r>
    </w:p>
    <w:p>
      <w:pPr>
        <w:spacing w:after="100" w:before="60"/>
        <w:jc w:val="center"/>
      </w:pPr>
      <w:r>
        <w:rPr>
          <w:rFonts w:ascii="Arial" w:cs="Arial" w:eastAsia="Arial" w:hAnsi="Arial"/>
          <w:b w:val="false"/>
          <w:bCs w:val="false"/>
          <w:i w:val="false"/>
          <w:iCs w:val="false"/>
          <w:color w:val="1C1C1A"/>
          <w:sz w:val="22"/>
          <w:szCs w:val="22"/>
        </w:rPr>
        <w:t xml:space="preserve">To discuss partnership, funding, or organizational membership:</w:t>
      </w:r>
    </w:p>
    <w:p>
      <w:pPr>
        <w:spacing w:after="40" w:before="40"/>
        <w:jc w:val="center"/>
      </w:pPr>
      <w:r>
        <w:rPr>
          <w:rFonts w:ascii="Arial" w:cs="Arial" w:eastAsia="Arial" w:hAnsi="Arial"/>
          <w:b/>
          <w:bCs/>
          <w:color w:val="0B3D6B"/>
          <w:sz w:val="22"/>
          <w:szCs w:val="22"/>
        </w:rPr>
        <w:t xml:space="preserve">Human Asset Cooperative of Eugene-Springfield</w:t>
      </w:r>
    </w:p>
    <w:p>
      <w:pPr>
        <w:spacing w:after="160" w:before="0"/>
        <w:jc w:val="center"/>
      </w:pPr>
      <w:r>
        <w:rPr>
          <w:rFonts w:ascii="Arial" w:cs="Arial" w:eastAsia="Arial" w:hAnsi="Arial"/>
          <w:i/>
          <w:iCs/>
          <w:color w:val="6A6A65"/>
          <w:sz w:val="20"/>
          <w:szCs w:val="20"/>
        </w:rPr>
        <w:t xml:space="preserve">Eugene, Oregon  ·  Lane County  ·  2026</w:t>
      </w:r>
    </w:p>
    <w:p>
      <w:pPr>
        <w:pBdr>
          <w:bottom w:val="single" w:color="0D7A5A" w:sz="6" w:space="1"/>
        </w:pBdr>
        <w:spacing w:after="0" w:before="0"/>
      </w:pPr>
      <w:r>
        <w:t xml:space="preserve"/>
      </w:r>
    </w:p>
    <w:p>
      <w:pPr>
        <w:spacing w:after="0" w:before="60"/>
      </w:pPr>
      <w:r>
        <w:t xml:space="preserve"/>
      </w:r>
    </w:p>
    <w:p>
      <w:pPr>
        <w:spacing w:after="100" w:before="60"/>
        <w:jc w:val="left"/>
      </w:pPr>
      <w:r>
        <w:rPr>
          <w:rFonts w:ascii="Arial" w:cs="Arial" w:eastAsia="Arial" w:hAnsi="Arial"/>
          <w:b w:val="false"/>
          <w:bCs w:val="false"/>
          <w:i w:val="false"/>
          <w:iCs w:val="false"/>
          <w:color w:val="8A8A85"/>
          <w:sz w:val="22"/>
          <w:szCs w:val="22"/>
        </w:rPr>
        <w:t xml:space="preserve">Human Asset Cooperative of Eugene-Springfield  ·  Donor Overview  ·  Draft 1.0  ·  2026. This document is for informational purposes. Community Investment Notes and other investment instruments are subject to applicable securities laws. Consult qualified legal and financial counsel before investing.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B3D6B" w:sz="4" w:space="1"/>
      </w:pBdr>
      <w:spacing w:after="0" w:before="80"/>
      <w:jc w:val="right"/>
    </w:pPr>
    <w:r>
      <w:rPr>
        <w:rFonts w:ascii="Arial" w:cs="Arial" w:eastAsia="Arial" w:hAnsi="Arial"/>
        <w:color w:val="6A6A65"/>
        <w:sz w:val="18"/>
        <w:szCs w:val="18"/>
      </w:rPr>
      <w:t xml:space="preserve">Page </w:t>
    </w:r>
    <w:r>
      <w:rPr>
        <w:rFonts w:ascii="Arial" w:cs="Arial" w:eastAsia="Arial" w:hAnsi="Arial"/>
        <w:color w:val="6A6A6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7A5A" w:sz="4" w:space="1"/>
      </w:pBdr>
      <w:spacing w:after="80" w:before="0"/>
    </w:pPr>
    <w:r>
      <w:rPr>
        <w:rFonts w:ascii="Arial" w:cs="Arial" w:eastAsia="Arial" w:hAnsi="Arial"/>
        <w:color w:val="6A6A65"/>
        <w:sz w:val="18"/>
        <w:szCs w:val="18"/>
      </w:rPr>
      <w:t xml:space="preserve">Human Asset Cooperative of Eugene-Springfield  |  </w:t>
    </w:r>
    <w:r>
      <w:rPr>
        <w:rFonts w:ascii="Arial" w:cs="Arial" w:eastAsia="Arial" w:hAnsi="Arial"/>
        <w:b/>
        <w:bCs/>
        <w:color w:val="074D3A"/>
        <w:sz w:val="18"/>
        <w:szCs w:val="18"/>
      </w:rPr>
      <w:t xml:space="preserve">Donor Overview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B3D6B"/>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074D3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2026-06-02T13:52:18.994Z</dcterms:created>
  <dcterms:modified xsi:type="dcterms:W3CDTF">2026-06-02T13:52:18.994Z</dcterms:modified>
</cp:coreProperties>
</file>

<file path=docProps/custom.xml><?xml version="1.0" encoding="utf-8"?>
<Properties xmlns="http://schemas.openxmlformats.org/officeDocument/2006/custom-properties" xmlns:vt="http://schemas.openxmlformats.org/officeDocument/2006/docPropsVTypes"/>
</file>