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i w:val="0"/>
          <w:color w:val="1F4E5F"/>
          <w:sz w:val="36"/>
        </w:rPr>
        <w:t>HUMAN ASSET COOPERATIVE</w:t>
      </w:r>
    </w:p>
    <w:p>
      <w:pPr>
        <w:jc w:val="center"/>
      </w:pPr>
      <w:r>
        <w:rPr>
          <w:rFonts w:ascii="Arial" w:hAnsi="Arial"/>
          <w:b w:val="0"/>
          <w:i/>
          <w:sz w:val="26"/>
        </w:rPr>
        <w:t>of Eugene-Springfield</w:t>
      </w:r>
    </w:p>
    <w:p>
      <w:pPr>
        <w:jc w:val="center"/>
      </w:pPr>
      <w:r>
        <w:rPr>
          <w:rFonts w:ascii="Arial" w:hAnsi="Arial"/>
          <w:b/>
          <w:i w:val="0"/>
          <w:sz w:val="32"/>
        </w:rPr>
        <w:t>THE DUAL-ENTITY STRUCTURE</w:t>
      </w:r>
    </w:p>
    <w:p>
      <w:pPr>
        <w:jc w:val="center"/>
      </w:pPr>
      <w:r>
        <w:rPr>
          <w:rFonts w:ascii="Arial" w:hAnsi="Arial"/>
          <w:b w:val="0"/>
          <w:i w:val="0"/>
          <w:sz w:val="24"/>
        </w:rPr>
        <w:t>Foundation + Worker Cooperative: Entity Design, Function Allocation, and Transition Plan</w:t>
      </w:r>
    </w:p>
    <w:p>
      <w:pPr>
        <w:jc w:val="center"/>
      </w:pPr>
      <w:r>
        <w:rPr>
          <w:rFonts w:ascii="Arial" w:hAnsi="Arial"/>
          <w:b w:val="0"/>
          <w:i/>
          <w:sz w:val="20"/>
        </w:rPr>
        <w:t>DRAFT — For Member and Governing Council Review  ·  July 2026  ·  Supersedes single-entity descriptions throughout the document set</w:t>
      </w:r>
    </w:p>
    <w:p/>
    <w:p>
      <w:pPr>
        <w:keepNext/>
        <w:spacing w:before="360" w:after="200"/>
      </w:pPr>
      <w:r>
        <w:rPr>
          <w:rFonts w:ascii="Arial" w:hAnsi="Arial"/>
          <w:b/>
          <w:color w:val="1F4E5F"/>
          <w:sz w:val="30"/>
        </w:rPr>
        <w:t>WHY TWO ENTITIES</w:t>
      </w:r>
    </w:p>
    <w:p>
      <w:pPr>
        <w:spacing w:after="160"/>
        <w:jc w:val="both"/>
      </w:pPr>
      <w:r>
        <w:rPr>
          <w:rFonts w:ascii="Arial" w:hAnsi="Arial"/>
          <w:sz w:val="22"/>
        </w:rPr>
        <w:t>The single-entity design forced one legal structure to do two incompatible jobs: receive charitable grants and run tax-exempt basic-needs programs (which wants 501(c)(3) status), and operate earned-revenue businesses that distribute surplus to worker-owners and advocate for policy change (which a 501(c)(3) cannot freely do). The dual-entity model — proven by Co-op Cincy, Evergreen (nonprofit holding company + worker coops), and the Mondragon-USW 1worker1vote framework — assigns each job to the structure built for it. Grant capacity and earned revenue stop competing and start compounding.</w:t>
      </w:r>
    </w:p>
    <w:p>
      <w:pPr>
        <w:keepNext/>
        <w:spacing w:before="360" w:after="200"/>
      </w:pPr>
      <w:r>
        <w:rPr>
          <w:rFonts w:ascii="Arial" w:hAnsi="Arial"/>
          <w:b/>
          <w:color w:val="1F4E5F"/>
          <w:sz w:val="30"/>
        </w:rPr>
        <w:t>THE TWO ENTITIES</w:t>
      </w:r>
    </w:p>
    <w:tbl>
      <w:tblPr>
        <w:tblW w:type="auto" w:w="0"/>
        <w:tblBorders>
          <w:top w:val="single" w:sz="4" w:color="BBBBBB"/>
          <w:left w:val="single" w:sz="4" w:color="BBBBBB"/>
          <w:bottom w:val="single" w:sz="4" w:color="BBBBBB"/>
          <w:right w:val="single" w:sz="4" w:color="BBBBBB"/>
          <w:insideH w:val="single" w:sz="4" w:color="BBBBBB"/>
          <w:insideV w:val="single" w:sz="4" w:color="BBBBBB"/>
        </w:tblBorders>
        <w:tblLayout w:type="fixed"/>
        <w:tblLook w:firstColumn="1" w:firstRow="1" w:lastColumn="0" w:lastRow="0" w:noHBand="0" w:noVBand="1" w:val="04A0"/>
      </w:tblPr>
      <w:tblGrid>
        <w:gridCol w:w="2880"/>
        <w:gridCol w:w="2880"/>
        <w:gridCol w:w="2880"/>
      </w:tblGrid>
      <w:tr>
        <w:tc>
          <w:tcPr>
            <w:tcW w:type="dxa" w:w="1300"/>
          </w:tcPr>
          <w:p>
            <w:r>
              <w:rPr>
                <w:rFonts w:ascii="Arial" w:hAnsi="Arial"/>
                <w:b/>
                <w:sz w:val="19"/>
              </w:rPr>
            </w:r>
          </w:p>
        </w:tc>
        <w:tc>
          <w:tcPr>
            <w:tcW w:type="dxa" w:w="4030"/>
          </w:tcPr>
          <w:p>
            <w:r>
              <w:rPr>
                <w:rFonts w:ascii="Arial" w:hAnsi="Arial"/>
                <w:b/>
                <w:sz w:val="19"/>
              </w:rPr>
              <w:t>Human Asset Foundation of Eugene-Springfield (“the Foundation”)</w:t>
            </w:r>
          </w:p>
        </w:tc>
        <w:tc>
          <w:tcPr>
            <w:tcW w:type="dxa" w:w="4030"/>
          </w:tcPr>
          <w:p>
            <w:r>
              <w:rPr>
                <w:rFonts w:ascii="Arial" w:hAnsi="Arial"/>
                <w:b/>
                <w:sz w:val="19"/>
              </w:rPr>
              <w:t>Human Asset Cooperative of Eugene-Springfield (“the Cooperative” / HAC-ES)</w:t>
            </w:r>
          </w:p>
        </w:tc>
      </w:tr>
      <w:tr>
        <w:trPr>
          <w:cantSplit/>
        </w:trPr>
        <w:tc>
          <w:tcPr>
            <w:tcW w:type="dxa" w:w="1300"/>
          </w:tcPr>
          <w:p>
            <w:r>
              <w:rPr>
                <w:rFonts w:ascii="Arial" w:hAnsi="Arial"/>
                <w:sz w:val="19"/>
              </w:rPr>
              <w:t>Legal form</w:t>
            </w:r>
          </w:p>
        </w:tc>
        <w:tc>
          <w:tcPr>
            <w:tcW w:type="dxa" w:w="4030"/>
          </w:tcPr>
          <w:p>
            <w:r>
              <w:rPr>
                <w:rFonts w:ascii="Arial" w:hAnsi="Arial"/>
                <w:sz w:val="19"/>
              </w:rPr>
              <w:t>Oregon nonprofit corporation (ORS Ch. 65)</w:t>
            </w:r>
          </w:p>
        </w:tc>
        <w:tc>
          <w:tcPr>
            <w:tcW w:type="dxa" w:w="4030"/>
          </w:tcPr>
          <w:p>
            <w:r>
              <w:rPr>
                <w:rFonts w:ascii="Arial" w:hAnsi="Arial"/>
                <w:sz w:val="19"/>
              </w:rPr>
              <w:t>Oregon cooperative corporation (ORS Ch. 62), worker cooperative</w:t>
            </w:r>
          </w:p>
        </w:tc>
      </w:tr>
      <w:tr>
        <w:trPr>
          <w:cantSplit/>
        </w:trPr>
        <w:tc>
          <w:tcPr>
            <w:tcW w:type="dxa" w:w="1300"/>
          </w:tcPr>
          <w:p>
            <w:r>
              <w:rPr>
                <w:rFonts w:ascii="Arial" w:hAnsi="Arial"/>
                <w:sz w:val="19"/>
              </w:rPr>
              <w:t>Tax status</w:t>
            </w:r>
          </w:p>
        </w:tc>
        <w:tc>
          <w:tcPr>
            <w:tcW w:type="dxa" w:w="4030"/>
          </w:tcPr>
          <w:p>
            <w:r>
              <w:rPr>
                <w:rFonts w:ascii="Arial" w:hAnsi="Arial"/>
                <w:sz w:val="19"/>
              </w:rPr>
              <w:t>501(c)(3) public charity (application to be filed)</w:t>
            </w:r>
          </w:p>
        </w:tc>
        <w:tc>
          <w:tcPr>
            <w:tcW w:type="dxa" w:w="4030"/>
          </w:tcPr>
          <w:p>
            <w:r>
              <w:rPr>
                <w:rFonts w:ascii="Arial" w:hAnsi="Arial"/>
                <w:sz w:val="19"/>
              </w:rPr>
              <w:t>Taxable cooperative; patronage deductions under Subchapter T</w:t>
            </w:r>
          </w:p>
        </w:tc>
      </w:tr>
      <w:tr>
        <w:trPr>
          <w:cantSplit/>
        </w:trPr>
        <w:tc>
          <w:tcPr>
            <w:tcW w:type="dxa" w:w="1300"/>
          </w:tcPr>
          <w:p>
            <w:r>
              <w:rPr>
                <w:rFonts w:ascii="Arial" w:hAnsi="Arial"/>
                <w:sz w:val="19"/>
              </w:rPr>
              <w:t>Purpose</w:t>
            </w:r>
          </w:p>
        </w:tc>
        <w:tc>
          <w:tcPr>
            <w:tcW w:type="dxa" w:w="4030"/>
          </w:tcPr>
          <w:p>
            <w:r>
              <w:rPr>
                <w:rFonts w:ascii="Arial" w:hAnsi="Arial"/>
                <w:sz w:val="19"/>
              </w:rPr>
              <w:t>Charitable: basic needs security, education and training, cooperative development, HAIS as open-source public good</w:t>
            </w:r>
          </w:p>
        </w:tc>
        <w:tc>
          <w:tcPr>
            <w:tcW w:type="dxa" w:w="4030"/>
          </w:tcPr>
          <w:p>
            <w:r>
              <w:rPr>
                <w:rFonts w:ascii="Arial" w:hAnsi="Arial"/>
                <w:sz w:val="19"/>
              </w:rPr>
              <w:t>Earned revenue: member businesses, shared services, placement and administration fees; worker and community ownership</w:t>
            </w:r>
          </w:p>
        </w:tc>
      </w:tr>
      <w:tr>
        <w:trPr>
          <w:cantSplit/>
        </w:trPr>
        <w:tc>
          <w:tcPr>
            <w:tcW w:type="dxa" w:w="1300"/>
          </w:tcPr>
          <w:p>
            <w:r>
              <w:rPr>
                <w:rFonts w:ascii="Arial" w:hAnsi="Arial"/>
                <w:sz w:val="19"/>
              </w:rPr>
              <w:t>Funding</w:t>
            </w:r>
          </w:p>
        </w:tc>
        <w:tc>
          <w:tcPr>
            <w:tcW w:type="dxa" w:w="4030"/>
          </w:tcPr>
          <w:p>
            <w:r>
              <w:rPr>
                <w:rFonts w:ascii="Arial" w:hAnsi="Arial"/>
                <w:sz w:val="19"/>
              </w:rPr>
              <w:t>Grants, donations, government funds, program-related investments</w:t>
            </w:r>
          </w:p>
        </w:tc>
        <w:tc>
          <w:tcPr>
            <w:tcW w:type="dxa" w:w="4030"/>
          </w:tcPr>
          <w:p>
            <w:r>
              <w:rPr>
                <w:rFonts w:ascii="Arial" w:hAnsi="Arial"/>
                <w:sz w:val="19"/>
              </w:rPr>
              <w:t>Business revenue, membership dues, Business Services Agreement revenue shares</w:t>
            </w:r>
          </w:p>
        </w:tc>
      </w:tr>
      <w:tr>
        <w:trPr>
          <w:cantSplit/>
        </w:trPr>
        <w:tc>
          <w:tcPr>
            <w:tcW w:type="dxa" w:w="1300"/>
          </w:tcPr>
          <w:p>
            <w:r>
              <w:rPr>
                <w:rFonts w:ascii="Arial" w:hAnsi="Arial"/>
                <w:sz w:val="19"/>
              </w:rPr>
              <w:t>People</w:t>
            </w:r>
          </w:p>
        </w:tc>
        <w:tc>
          <w:tcPr>
            <w:tcW w:type="dxa" w:w="4030"/>
          </w:tcPr>
          <w:p>
            <w:r>
              <w:rPr>
                <w:rFonts w:ascii="Arial" w:hAnsi="Arial"/>
                <w:sz w:val="19"/>
              </w:rPr>
              <w:t>Program staff serving members' basic needs and development</w:t>
            </w:r>
          </w:p>
        </w:tc>
        <w:tc>
          <w:tcPr>
            <w:tcW w:type="dxa" w:w="4030"/>
          </w:tcPr>
          <w:p>
            <w:r>
              <w:rPr>
                <w:rFonts w:ascii="Arial" w:hAnsi="Arial"/>
                <w:sz w:val="19"/>
              </w:rPr>
              <w:t>Worker-owners of member businesses; shared-services staff</w:t>
            </w:r>
          </w:p>
        </w:tc>
      </w:tr>
      <w:tr>
        <w:trPr>
          <w:cantSplit/>
        </w:trPr>
        <w:tc>
          <w:tcPr>
            <w:tcW w:type="dxa" w:w="1300"/>
          </w:tcPr>
          <w:p>
            <w:r>
              <w:rPr>
                <w:rFonts w:ascii="Arial" w:hAnsi="Arial"/>
                <w:sz w:val="19"/>
              </w:rPr>
              <w:t>Advocacy</w:t>
            </w:r>
          </w:p>
        </w:tc>
        <w:tc>
          <w:tcPr>
            <w:tcW w:type="dxa" w:w="4030"/>
          </w:tcPr>
          <w:p>
            <w:r>
              <w:rPr>
                <w:rFonts w:ascii="Arial" w:hAnsi="Arial"/>
                <w:sz w:val="19"/>
              </w:rPr>
              <w:t>Limited (501(c)(3) lobbying limits apply)</w:t>
            </w:r>
          </w:p>
        </w:tc>
        <w:tc>
          <w:tcPr>
            <w:tcW w:type="dxa" w:w="4030"/>
          </w:tcPr>
          <w:p>
            <w:r>
              <w:rPr>
                <w:rFonts w:ascii="Arial" w:hAnsi="Arial"/>
                <w:sz w:val="19"/>
              </w:rPr>
              <w:t>Unlimited — carries the full Middle-Out policy agenda, including the Oregon Marcora Act campaign</w:t>
            </w:r>
          </w:p>
        </w:tc>
      </w:tr>
    </w:tbl>
    <w:p/>
    <w:p>
      <w:pPr>
        <w:keepNext/>
        <w:spacing w:before="360" w:after="200"/>
      </w:pPr>
      <w:r>
        <w:rPr>
          <w:rFonts w:ascii="Arial" w:hAnsi="Arial"/>
          <w:b/>
          <w:color w:val="1F4E5F"/>
          <w:sz w:val="30"/>
        </w:rPr>
        <w:t>FUNCTION ALLOCATION</w:t>
      </w:r>
    </w:p>
    <w:tbl>
      <w:tblPr>
        <w:tblW w:type="auto" w:w="0"/>
        <w:tblBorders>
          <w:top w:val="single" w:sz="4" w:color="BBBBBB"/>
          <w:left w:val="single" w:sz="4" w:color="BBBBBB"/>
          <w:bottom w:val="single" w:sz="4" w:color="BBBBBB"/>
          <w:right w:val="single" w:sz="4" w:color="BBBBBB"/>
          <w:insideH w:val="single" w:sz="4" w:color="BBBBBB"/>
          <w:insideV w:val="single" w:sz="4" w:color="BBBBBB"/>
        </w:tblBorders>
        <w:tblLayout w:type="fixed"/>
        <w:tblLook w:firstColumn="1" w:firstRow="1" w:lastColumn="0" w:lastRow="0" w:noHBand="0" w:noVBand="1" w:val="04A0"/>
      </w:tblPr>
      <w:tblGrid>
        <w:gridCol w:w="2880"/>
        <w:gridCol w:w="2880"/>
        <w:gridCol w:w="2880"/>
      </w:tblGrid>
      <w:tr>
        <w:tc>
          <w:tcPr>
            <w:tcW w:type="dxa" w:w="3200"/>
          </w:tcPr>
          <w:p>
            <w:r>
              <w:rPr>
                <w:rFonts w:ascii="Arial" w:hAnsi="Arial"/>
                <w:b/>
                <w:sz w:val="19"/>
              </w:rPr>
              <w:t>Program / Asset</w:t>
            </w:r>
          </w:p>
        </w:tc>
        <w:tc>
          <w:tcPr>
            <w:tcW w:type="dxa" w:w="1600"/>
          </w:tcPr>
          <w:p>
            <w:r>
              <w:rPr>
                <w:rFonts w:ascii="Arial" w:hAnsi="Arial"/>
                <w:b/>
                <w:sz w:val="19"/>
              </w:rPr>
              <w:t>Entity</w:t>
            </w:r>
          </w:p>
        </w:tc>
        <w:tc>
          <w:tcPr>
            <w:tcW w:type="dxa" w:w="4560"/>
          </w:tcPr>
          <w:p>
            <w:r>
              <w:rPr>
                <w:rFonts w:ascii="Arial" w:hAnsi="Arial"/>
                <w:b/>
                <w:sz w:val="19"/>
              </w:rPr>
              <w:t>Notes</w:t>
            </w:r>
          </w:p>
        </w:tc>
      </w:tr>
      <w:tr>
        <w:trPr>
          <w:cantSplit/>
        </w:trPr>
        <w:tc>
          <w:tcPr>
            <w:tcW w:type="dxa" w:w="3200"/>
          </w:tcPr>
          <w:p>
            <w:r>
              <w:rPr>
                <w:rFonts w:ascii="Arial" w:hAnsi="Arial"/>
                <w:sz w:val="19"/>
              </w:rPr>
              <w:t>Human Asset Fund (Priorities 1–3: basic needs, development)</w:t>
            </w:r>
          </w:p>
        </w:tc>
        <w:tc>
          <w:tcPr>
            <w:tcW w:type="dxa" w:w="1600"/>
          </w:tcPr>
          <w:p>
            <w:r>
              <w:rPr>
                <w:rFonts w:ascii="Arial" w:hAnsi="Arial"/>
                <w:sz w:val="19"/>
              </w:rPr>
              <w:t>Foundation</w:t>
            </w:r>
          </w:p>
        </w:tc>
        <w:tc>
          <w:tcPr>
            <w:tcW w:type="dxa" w:w="4560"/>
          </w:tcPr>
          <w:p>
            <w:r>
              <w:rPr>
                <w:rFonts w:ascii="Arial" w:hAnsi="Arial"/>
                <w:sz w:val="19"/>
              </w:rPr>
              <w:t>Charitable deployments; indivisible-principal rule carries over intact</w:t>
            </w:r>
          </w:p>
        </w:tc>
      </w:tr>
      <w:tr>
        <w:trPr>
          <w:cantSplit/>
        </w:trPr>
        <w:tc>
          <w:tcPr>
            <w:tcW w:type="dxa" w:w="3200"/>
          </w:tcPr>
          <w:p>
            <w:r>
              <w:rPr>
                <w:rFonts w:ascii="Arial" w:hAnsi="Arial"/>
                <w:sz w:val="19"/>
              </w:rPr>
              <w:t>Cooperative Development Pool (3%)</w:t>
            </w:r>
          </w:p>
        </w:tc>
        <w:tc>
          <w:tcPr>
            <w:tcW w:type="dxa" w:w="1600"/>
          </w:tcPr>
          <w:p>
            <w:r>
              <w:rPr>
                <w:rFonts w:ascii="Arial" w:hAnsi="Arial"/>
                <w:sz w:val="19"/>
              </w:rPr>
              <w:t>Foundation</w:t>
            </w:r>
          </w:p>
        </w:tc>
        <w:tc>
          <w:tcPr>
            <w:tcW w:type="dxa" w:w="4560"/>
          </w:tcPr>
          <w:p>
            <w:r>
              <w:rPr>
                <w:rFonts w:ascii="Arial" w:hAnsi="Arial"/>
                <w:sz w:val="19"/>
              </w:rPr>
              <w:t>Charitable cooperative development; receives Organizational and Business Member contributions as gifts or program fees</w:t>
            </w:r>
          </w:p>
        </w:tc>
      </w:tr>
      <w:tr>
        <w:trPr>
          <w:cantSplit/>
        </w:trPr>
        <w:tc>
          <w:tcPr>
            <w:tcW w:type="dxa" w:w="3200"/>
          </w:tcPr>
          <w:p>
            <w:r>
              <w:rPr>
                <w:rFonts w:ascii="Arial" w:hAnsi="Arial"/>
                <w:sz w:val="19"/>
              </w:rPr>
              <w:t>Solidarity Fund + Member Security Program</w:t>
            </w:r>
          </w:p>
        </w:tc>
        <w:tc>
          <w:tcPr>
            <w:tcW w:type="dxa" w:w="1600"/>
          </w:tcPr>
          <w:p>
            <w:r>
              <w:rPr>
                <w:rFonts w:ascii="Arial" w:hAnsi="Arial"/>
                <w:sz w:val="19"/>
              </w:rPr>
              <w:t>Cooperative</w:t>
            </w:r>
          </w:p>
        </w:tc>
        <w:tc>
          <w:tcPr>
            <w:tcW w:type="dxa" w:w="4560"/>
          </w:tcPr>
          <w:p>
            <w:r>
              <w:rPr>
                <w:rFonts w:ascii="Arial" w:hAnsi="Arial"/>
                <w:sz w:val="19"/>
              </w:rPr>
              <w:t>Mutual-benefit stabilization among member businesses; Lagun Aro model is mutual insurance, properly cooperative-side</w:t>
            </w:r>
          </w:p>
        </w:tc>
      </w:tr>
      <w:tr>
        <w:trPr>
          <w:cantSplit/>
        </w:trPr>
        <w:tc>
          <w:tcPr>
            <w:tcW w:type="dxa" w:w="3200"/>
          </w:tcPr>
          <w:p>
            <w:r>
              <w:rPr>
                <w:rFonts w:ascii="Arial" w:hAnsi="Arial"/>
                <w:sz w:val="19"/>
              </w:rPr>
              <w:t>HAIS ownership and open-source publication (AGPL-3.0)</w:t>
            </w:r>
          </w:p>
        </w:tc>
        <w:tc>
          <w:tcPr>
            <w:tcW w:type="dxa" w:w="1600"/>
          </w:tcPr>
          <w:p>
            <w:r>
              <w:rPr>
                <w:rFonts w:ascii="Arial" w:hAnsi="Arial"/>
                <w:sz w:val="19"/>
              </w:rPr>
              <w:t>Foundation</w:t>
            </w:r>
          </w:p>
        </w:tc>
        <w:tc>
          <w:tcPr>
            <w:tcW w:type="dxa" w:w="4560"/>
          </w:tcPr>
          <w:p>
            <w:r>
              <w:rPr>
                <w:rFonts w:ascii="Arial" w:hAnsi="Arial"/>
                <w:sz w:val="19"/>
              </w:rPr>
              <w:t>Public-good technology; Cooperative operates it for business services under a no-cost license</w:t>
            </w:r>
          </w:p>
        </w:tc>
      </w:tr>
      <w:tr>
        <w:trPr>
          <w:cantSplit/>
        </w:trPr>
        <w:tc>
          <w:tcPr>
            <w:tcW w:type="dxa" w:w="3200"/>
          </w:tcPr>
          <w:p>
            <w:r>
              <w:rPr>
                <w:rFonts w:ascii="Arial" w:hAnsi="Arial"/>
                <w:sz w:val="19"/>
              </w:rPr>
              <w:t>Business Members + Business Services Agreements</w:t>
            </w:r>
          </w:p>
        </w:tc>
        <w:tc>
          <w:tcPr>
            <w:tcW w:type="dxa" w:w="1600"/>
          </w:tcPr>
          <w:p>
            <w:r>
              <w:rPr>
                <w:rFonts w:ascii="Arial" w:hAnsi="Arial"/>
                <w:sz w:val="19"/>
              </w:rPr>
              <w:t>Cooperative</w:t>
            </w:r>
          </w:p>
        </w:tc>
        <w:tc>
          <w:tcPr>
            <w:tcW w:type="dxa" w:w="4560"/>
          </w:tcPr>
          <w:p>
            <w:r>
              <w:rPr>
                <w:rFonts w:ascii="Arial" w:hAnsi="Arial"/>
                <w:sz w:val="19"/>
              </w:rPr>
              <w:t>New membership class; revenue-share to shared services</w:t>
            </w:r>
          </w:p>
        </w:tc>
      </w:tr>
      <w:tr>
        <w:trPr>
          <w:cantSplit/>
        </w:trPr>
        <w:tc>
          <w:tcPr>
            <w:tcW w:type="dxa" w:w="3200"/>
          </w:tcPr>
          <w:p>
            <w:r>
              <w:rPr>
                <w:rFonts w:ascii="Arial" w:hAnsi="Arial"/>
                <w:sz w:val="19"/>
              </w:rPr>
              <w:t>Tier 1A Staffing Cooperative</w:t>
            </w:r>
          </w:p>
        </w:tc>
        <w:tc>
          <w:tcPr>
            <w:tcW w:type="dxa" w:w="1600"/>
          </w:tcPr>
          <w:p>
            <w:r>
              <w:rPr>
                <w:rFonts w:ascii="Arial" w:hAnsi="Arial"/>
                <w:sz w:val="19"/>
              </w:rPr>
              <w:t>Cooperative</w:t>
            </w:r>
          </w:p>
        </w:tc>
        <w:tc>
          <w:tcPr>
            <w:tcW w:type="dxa" w:w="4560"/>
          </w:tcPr>
          <w:p>
            <w:r>
              <w:rPr>
                <w:rFonts w:ascii="Arial" w:hAnsi="Arial"/>
                <w:sz w:val="19"/>
              </w:rPr>
              <w:t>15–25% placement fees; projected $150K–$300K Year 1</w:t>
            </w:r>
          </w:p>
        </w:tc>
      </w:tr>
      <w:tr>
        <w:trPr>
          <w:cantSplit/>
        </w:trPr>
        <w:tc>
          <w:tcPr>
            <w:tcW w:type="dxa" w:w="3200"/>
          </w:tcPr>
          <w:p>
            <w:r>
              <w:rPr>
                <w:rFonts w:ascii="Arial" w:hAnsi="Arial"/>
                <w:sz w:val="19"/>
              </w:rPr>
              <w:t>Tier 1B Bookkeeping Cooperative</w:t>
            </w:r>
          </w:p>
        </w:tc>
        <w:tc>
          <w:tcPr>
            <w:tcW w:type="dxa" w:w="1600"/>
          </w:tcPr>
          <w:p>
            <w:r>
              <w:rPr>
                <w:rFonts w:ascii="Arial" w:hAnsi="Arial"/>
                <w:sz w:val="19"/>
              </w:rPr>
              <w:t>Cooperative</w:t>
            </w:r>
          </w:p>
        </w:tc>
        <w:tc>
          <w:tcPr>
            <w:tcW w:type="dxa" w:w="4560"/>
          </w:tcPr>
          <w:p>
            <w:r>
              <w:rPr>
                <w:rFonts w:ascii="Arial" w:hAnsi="Arial"/>
                <w:sz w:val="19"/>
              </w:rPr>
              <w:t>Serves Eugene's 3,000+ nonprofits and small businesses; below-CPA rates with HAIS integration</w:t>
            </w:r>
          </w:p>
        </w:tc>
      </w:tr>
      <w:tr>
        <w:trPr>
          <w:cantSplit/>
        </w:trPr>
        <w:tc>
          <w:tcPr>
            <w:tcW w:type="dxa" w:w="3200"/>
          </w:tcPr>
          <w:p>
            <w:r>
              <w:rPr>
                <w:rFonts w:ascii="Arial" w:hAnsi="Arial"/>
                <w:sz w:val="19"/>
              </w:rPr>
              <w:t>Group purchasing pool</w:t>
            </w:r>
          </w:p>
        </w:tc>
        <w:tc>
          <w:tcPr>
            <w:tcW w:type="dxa" w:w="1600"/>
          </w:tcPr>
          <w:p>
            <w:r>
              <w:rPr>
                <w:rFonts w:ascii="Arial" w:hAnsi="Arial"/>
                <w:sz w:val="19"/>
              </w:rPr>
              <w:t>Cooperative</w:t>
            </w:r>
          </w:p>
        </w:tc>
        <w:tc>
          <w:tcPr>
            <w:tcW w:type="dxa" w:w="4560"/>
          </w:tcPr>
          <w:p>
            <w:r>
              <w:rPr>
                <w:rFonts w:ascii="Arial" w:hAnsi="Arial"/>
                <w:sz w:val="19"/>
              </w:rPr>
              <w:t>Shared-services benefit for all member classes</w:t>
            </w:r>
          </w:p>
        </w:tc>
      </w:tr>
      <w:tr>
        <w:trPr>
          <w:cantSplit/>
        </w:trPr>
        <w:tc>
          <w:tcPr>
            <w:tcW w:type="dxa" w:w="3200"/>
          </w:tcPr>
          <w:p>
            <w:r>
              <w:rPr>
                <w:rFonts w:ascii="Arial" w:hAnsi="Arial"/>
                <w:sz w:val="19"/>
              </w:rPr>
              <w:t>Worker Buyout &amp; Conversion Program</w:t>
            </w:r>
          </w:p>
        </w:tc>
        <w:tc>
          <w:tcPr>
            <w:tcW w:type="dxa" w:w="1600"/>
          </w:tcPr>
          <w:p>
            <w:r>
              <w:rPr>
                <w:rFonts w:ascii="Arial" w:hAnsi="Arial"/>
                <w:sz w:val="19"/>
              </w:rPr>
              <w:t>Both</w:t>
            </w:r>
          </w:p>
        </w:tc>
        <w:tc>
          <w:tcPr>
            <w:tcW w:type="dxa" w:w="4560"/>
          </w:tcPr>
          <w:p>
            <w:r>
              <w:rPr>
                <w:rFonts w:ascii="Arial" w:hAnsi="Arial"/>
                <w:sz w:val="19"/>
              </w:rPr>
              <w:t>Foundation grants/matches capital from the Development Pool; Cooperative structures the deal and hosts the converted business</w:t>
            </w:r>
          </w:p>
        </w:tc>
      </w:tr>
      <w:tr>
        <w:trPr>
          <w:cantSplit/>
        </w:trPr>
        <w:tc>
          <w:tcPr>
            <w:tcW w:type="dxa" w:w="3200"/>
          </w:tcPr>
          <w:p>
            <w:r>
              <w:rPr>
                <w:rFonts w:ascii="Arial" w:hAnsi="Arial"/>
                <w:sz w:val="19"/>
              </w:rPr>
              <w:t>Asset Leverage Program</w:t>
            </w:r>
          </w:p>
        </w:tc>
        <w:tc>
          <w:tcPr>
            <w:tcW w:type="dxa" w:w="1600"/>
          </w:tcPr>
          <w:p>
            <w:r>
              <w:rPr>
                <w:rFonts w:ascii="Arial" w:hAnsi="Arial"/>
                <w:sz w:val="19"/>
              </w:rPr>
              <w:t>Both</w:t>
            </w:r>
          </w:p>
        </w:tc>
        <w:tc>
          <w:tcPr>
            <w:tcW w:type="dxa" w:w="4560"/>
          </w:tcPr>
          <w:p>
            <w:r>
              <w:rPr>
                <w:rFonts w:ascii="Arial" w:hAnsi="Arial"/>
                <w:sz w:val="19"/>
              </w:rPr>
              <w:t>Charitable-purpose notes and CLT contributions → Foundation; business-lending collateral pool → Cooperative; counsel allocates per mechanism</w:t>
            </w:r>
          </w:p>
        </w:tc>
      </w:tr>
      <w:tr>
        <w:trPr>
          <w:cantSplit/>
        </w:trPr>
        <w:tc>
          <w:tcPr>
            <w:tcW w:type="dxa" w:w="3200"/>
          </w:tcPr>
          <w:p>
            <w:r>
              <w:rPr>
                <w:rFonts w:ascii="Arial" w:hAnsi="Arial"/>
                <w:sz w:val="19"/>
              </w:rPr>
              <w:t>Anchor procurement brokerage</w:t>
            </w:r>
          </w:p>
        </w:tc>
        <w:tc>
          <w:tcPr>
            <w:tcW w:type="dxa" w:w="1600"/>
          </w:tcPr>
          <w:p>
            <w:r>
              <w:rPr>
                <w:rFonts w:ascii="Arial" w:hAnsi="Arial"/>
                <w:sz w:val="19"/>
              </w:rPr>
              <w:t>Cooperative</w:t>
            </w:r>
          </w:p>
        </w:tc>
        <w:tc>
          <w:tcPr>
            <w:tcW w:type="dxa" w:w="4560"/>
          </w:tcPr>
          <w:p>
            <w:r>
              <w:rPr>
                <w:rFonts w:ascii="Arial" w:hAnsi="Arial"/>
                <w:sz w:val="19"/>
              </w:rPr>
              <w:t>Contracts flow to member businesses</w:t>
            </w:r>
          </w:p>
        </w:tc>
      </w:tr>
      <w:tr>
        <w:trPr>
          <w:cantSplit/>
        </w:trPr>
        <w:tc>
          <w:tcPr>
            <w:tcW w:type="dxa" w:w="3200"/>
          </w:tcPr>
          <w:p>
            <w:r>
              <w:rPr>
                <w:rFonts w:ascii="Arial" w:hAnsi="Arial"/>
                <w:sz w:val="19"/>
              </w:rPr>
              <w:t>Green Jobs Pipeline / IRA §6417 direct pay</w:t>
            </w:r>
          </w:p>
        </w:tc>
        <w:tc>
          <w:tcPr>
            <w:tcW w:type="dxa" w:w="1600"/>
          </w:tcPr>
          <w:p>
            <w:r>
              <w:rPr>
                <w:rFonts w:ascii="Arial" w:hAnsi="Arial"/>
                <w:sz w:val="19"/>
              </w:rPr>
              <w:t>Both</w:t>
            </w:r>
          </w:p>
        </w:tc>
        <w:tc>
          <w:tcPr>
            <w:tcW w:type="dxa" w:w="4560"/>
          </w:tcPr>
          <w:p>
            <w:r>
              <w:rPr>
                <w:rFonts w:ascii="Arial" w:hAnsi="Arial"/>
                <w:sz w:val="19"/>
              </w:rPr>
              <w:t>Foundation accesses direct-pay credits as a nonprofit; Cooperative incubates the green enterprises</w:t>
            </w:r>
          </w:p>
        </w:tc>
      </w:tr>
      <w:tr>
        <w:trPr>
          <w:cantSplit/>
        </w:trPr>
        <w:tc>
          <w:tcPr>
            <w:tcW w:type="dxa" w:w="3200"/>
          </w:tcPr>
          <w:p>
            <w:r>
              <w:rPr>
                <w:rFonts w:ascii="Arial" w:hAnsi="Arial"/>
                <w:sz w:val="19"/>
              </w:rPr>
              <w:t>Policy advocacy / Middle-Out Scorecard</w:t>
            </w:r>
          </w:p>
        </w:tc>
        <w:tc>
          <w:tcPr>
            <w:tcW w:type="dxa" w:w="1600"/>
          </w:tcPr>
          <w:p>
            <w:r>
              <w:rPr>
                <w:rFonts w:ascii="Arial" w:hAnsi="Arial"/>
                <w:sz w:val="19"/>
              </w:rPr>
              <w:t>Cooperative</w:t>
            </w:r>
          </w:p>
        </w:tc>
        <w:tc>
          <w:tcPr>
            <w:tcW w:type="dxa" w:w="4560"/>
          </w:tcPr>
          <w:p>
            <w:r>
              <w:rPr>
                <w:rFonts w:ascii="Arial" w:hAnsi="Arial"/>
                <w:sz w:val="19"/>
              </w:rPr>
              <w:t>Removes 501(c)(3) lobbying constraint entirely</w:t>
            </w:r>
          </w:p>
        </w:tc>
      </w:tr>
      <w:tr>
        <w:trPr>
          <w:cantSplit/>
        </w:trPr>
        <w:tc>
          <w:tcPr>
            <w:tcW w:type="dxa" w:w="3200"/>
          </w:tcPr>
          <w:p>
            <w:r>
              <w:rPr>
                <w:rFonts w:ascii="Arial" w:hAnsi="Arial"/>
                <w:sz w:val="19"/>
              </w:rPr>
              <w:t>Human Asset Dividend</w:t>
            </w:r>
          </w:p>
        </w:tc>
        <w:tc>
          <w:tcPr>
            <w:tcW w:type="dxa" w:w="1600"/>
          </w:tcPr>
          <w:p>
            <w:r>
              <w:rPr>
                <w:rFonts w:ascii="Arial" w:hAnsi="Arial"/>
                <w:sz w:val="19"/>
              </w:rPr>
              <w:t>See counsel item C1</w:t>
            </w:r>
          </w:p>
        </w:tc>
        <w:tc>
          <w:tcPr>
            <w:tcW w:type="dxa" w:w="4560"/>
          </w:tcPr>
          <w:p>
            <w:r>
              <w:rPr>
                <w:rFonts w:ascii="Arial" w:hAnsi="Arial"/>
                <w:sz w:val="19"/>
              </w:rPr>
              <w:t>Universality preserved as a design requirement; entity assignment is the top counsel question</w:t>
            </w:r>
          </w:p>
        </w:tc>
      </w:tr>
    </w:tbl>
    <w:p/>
    <w:p>
      <w:pPr>
        <w:keepNext/>
        <w:spacing w:before="360" w:after="200"/>
      </w:pPr>
      <w:r>
        <w:rPr>
          <w:rFonts w:ascii="Arial" w:hAnsi="Arial"/>
          <w:b/>
          <w:color w:val="1F4E5F"/>
          <w:sz w:val="30"/>
        </w:rPr>
        <w:t>MEMBERSHIP ACROSS THE TWO ENTITIES</w:t>
      </w:r>
    </w:p>
    <w:p>
      <w:pPr>
        <w:spacing w:after="160"/>
        <w:jc w:val="both"/>
      </w:pPr>
      <w:r>
        <w:rPr>
          <w:rFonts w:ascii="Arial" w:hAnsi="Arial"/>
          <w:b/>
          <w:sz w:val="22"/>
        </w:rPr>
        <w:t xml:space="preserve">Unified membership. </w:t>
      </w:r>
      <w:r>
        <w:rPr>
          <w:rFonts w:ascii="Arial" w:hAnsi="Arial"/>
          <w:sz w:val="22"/>
        </w:rPr>
        <w:t>One application, one membership experience, two legal homes. Individual Members join the Cooperative (governance rights, dividend eligibility, employment services) and are program beneficiaries of the Foundation. Organizational Members affiliate with the Cooperative network. The new class:</w:t>
      </w:r>
    </w:p>
    <w:p>
      <w:pPr>
        <w:spacing w:after="160"/>
        <w:jc w:val="both"/>
      </w:pPr>
      <w:r>
        <w:rPr>
          <w:rFonts w:ascii="Arial" w:hAnsi="Arial"/>
          <w:b/>
          <w:sz w:val="22"/>
        </w:rPr>
        <w:t xml:space="preserve">Business Members (new). </w:t>
      </w:r>
      <w:r>
        <w:rPr>
          <w:rFonts w:ascii="Arial" w:hAnsi="Arial"/>
          <w:sz w:val="22"/>
        </w:rPr>
        <w:t>Existing operators — bookkeepers, staffing consultants, energy auditors, care providers — formalized under Business Services Agreements: HAIS back-office, group purchasing, and network referrals in exchange for a revenue share. Business Members are the earned-revenue engine and the pipeline to full worker-cooperative formation (Tier 1A/1B first, childcare cooperative per the Onward Eugene framework next).</w:t>
      </w:r>
    </w:p>
    <w:p>
      <w:pPr>
        <w:keepNext/>
        <w:spacing w:before="360" w:after="200"/>
      </w:pPr>
      <w:r>
        <w:rPr>
          <w:rFonts w:ascii="Arial" w:hAnsi="Arial"/>
          <w:b/>
          <w:color w:val="1F4E5F"/>
          <w:sz w:val="30"/>
        </w:rPr>
        <w:t>GOVERNANCE INTERLOCK</w:t>
      </w:r>
    </w:p>
    <w:p>
      <w:pPr>
        <w:spacing w:after="160"/>
        <w:jc w:val="both"/>
      </w:pPr>
      <w:r>
        <w:rPr>
          <w:rFonts w:ascii="Arial" w:hAnsi="Arial"/>
          <w:sz w:val="22"/>
        </w:rPr>
        <w:t>The democratic architecture spans both entities: the elected Governing Council governs the Cooperative directly and elects the Foundation board (majority overlap required); the AI Oversight Officers hold identical authority over HAIS use in both entities; the anti-extraction principle, data sovereignty article, and bias-audit requirements are written into both charters verbatim. A cost-sharing and services agreement (counsel item C4) governs staff and system sharing so each entity bears its own costs — standard nonprofit/affiliate accounting practice.</w:t>
      </w:r>
    </w:p>
    <w:p>
      <w:pPr>
        <w:keepNext/>
        <w:spacing w:before="360" w:after="200"/>
      </w:pPr>
      <w:r>
        <w:rPr>
          <w:rFonts w:ascii="Arial" w:hAnsi="Arial"/>
          <w:b/>
          <w:color w:val="1F4E5F"/>
          <w:sz w:val="30"/>
        </w:rPr>
        <w:t>COUNSEL REVIEW ITEMS — RESOLVE BEFORE FILING</w:t>
      </w:r>
    </w:p>
    <w:p>
      <w:pPr>
        <w:spacing w:after="160"/>
        <w:jc w:val="both"/>
      </w:pPr>
      <w:r>
        <w:rPr>
          <w:rFonts w:ascii="Arial" w:hAnsi="Arial"/>
          <w:b/>
          <w:sz w:val="22"/>
        </w:rPr>
        <w:t xml:space="preserve">C1 — The Dividend. </w:t>
      </w:r>
      <w:r>
        <w:rPr>
          <w:rFonts w:ascii="Arial" w:hAnsi="Arial"/>
          <w:sz w:val="22"/>
        </w:rPr>
        <w:t>A 501(c)(3) cannot pay a universal cash dividend to members — that is private inurement. Options, in order of preference: (a) house the Dividend in the Cooperative as a community patronage distribution funded by Cooperative surplus and a Foundation services contract; (b) restructure as need-based basic-needs credits from the Foundation (loses universality — conflicts with the Bylaws v4 Alaska principle); (c) retain a 501(c)(4) affiliate solely as the dividend vehicle (three entities — complexity cost). The universality requirement adopted in Bylaws v4 is preserved as a design constraint on whichever structure counsel selects.</w:t>
      </w:r>
    </w:p>
    <w:p>
      <w:pPr>
        <w:spacing w:after="160"/>
        <w:jc w:val="both"/>
      </w:pPr>
      <w:r>
        <w:rPr>
          <w:rFonts w:ascii="Arial" w:hAnsi="Arial"/>
          <w:b/>
          <w:sz w:val="22"/>
        </w:rPr>
        <w:t xml:space="preserve">C2 — Related-party pricing. </w:t>
      </w:r>
      <w:r>
        <w:rPr>
          <w:rFonts w:ascii="Arial" w:hAnsi="Arial"/>
          <w:sz w:val="22"/>
        </w:rPr>
        <w:t>Cooperative revenue-share payments and license arrangements with the Foundation must be at fair value to protect (c)(3) status; the HAIS license from Foundation to Cooperative needs terms consistent with AGPL-3.0 publication.</w:t>
      </w:r>
    </w:p>
    <w:p>
      <w:pPr>
        <w:spacing w:after="160"/>
        <w:jc w:val="both"/>
      </w:pPr>
      <w:r>
        <w:rPr>
          <w:rFonts w:ascii="Arial" w:hAnsi="Arial"/>
          <w:b/>
          <w:sz w:val="22"/>
        </w:rPr>
        <w:t xml:space="preserve">C3 — UBIT exposure. </w:t>
      </w:r>
      <w:r>
        <w:rPr>
          <w:rFonts w:ascii="Arial" w:hAnsi="Arial"/>
          <w:sz w:val="22"/>
        </w:rPr>
        <w:t>Foundation activities that serve Cooperative businesses (e.g., HAIS operations for Tier 1A/1B) may generate unrelated business income; the allocation in the table above minimizes this but requires counsel confirmation.</w:t>
      </w:r>
    </w:p>
    <w:p>
      <w:pPr>
        <w:spacing w:after="160"/>
        <w:jc w:val="both"/>
      </w:pPr>
      <w:r>
        <w:rPr>
          <w:rFonts w:ascii="Arial" w:hAnsi="Arial"/>
          <w:b/>
          <w:sz w:val="22"/>
        </w:rPr>
        <w:t xml:space="preserve">C4 — Shared operations. </w:t>
      </w:r>
      <w:r>
        <w:rPr>
          <w:rFonts w:ascii="Arial" w:hAnsi="Arial"/>
          <w:sz w:val="22"/>
        </w:rPr>
        <w:t>Cost-sharing agreement, employee assignment between entities (the 32-hour Preferred Hours commitment applies in both), and directors-and-officers coverage spanning the interlocked boards.</w:t>
      </w:r>
    </w:p>
    <w:p>
      <w:pPr>
        <w:keepNext/>
        <w:spacing w:before="360" w:after="200"/>
      </w:pPr>
      <w:r>
        <w:rPr>
          <w:rFonts w:ascii="Arial" w:hAnsi="Arial"/>
          <w:b/>
          <w:color w:val="1F4E5F"/>
          <w:sz w:val="30"/>
        </w:rPr>
        <w:t>TRANSITION STEPS</w:t>
      </w:r>
    </w:p>
    <w:tbl>
      <w:tblPr>
        <w:tblW w:type="auto" w:w="0"/>
        <w:tblBorders>
          <w:top w:val="single" w:sz="4" w:color="BBBBBB"/>
          <w:left w:val="single" w:sz="4" w:color="BBBBBB"/>
          <w:bottom w:val="single" w:sz="4" w:color="BBBBBB"/>
          <w:right w:val="single" w:sz="4" w:color="BBBBBB"/>
          <w:insideH w:val="single" w:sz="4" w:color="BBBBBB"/>
          <w:insideV w:val="single" w:sz="4" w:color="BBBBBB"/>
        </w:tblBorders>
        <w:tblLayout w:type="fixed"/>
        <w:tblLook w:firstColumn="1" w:firstRow="1" w:lastColumn="0" w:lastRow="0" w:noHBand="0" w:noVBand="1" w:val="04A0"/>
      </w:tblPr>
      <w:tblGrid>
        <w:gridCol w:w="2880"/>
        <w:gridCol w:w="2880"/>
        <w:gridCol w:w="2880"/>
      </w:tblGrid>
      <w:tr>
        <w:tc>
          <w:tcPr>
            <w:tcW w:type="dxa" w:w="500"/>
          </w:tcPr>
          <w:p>
            <w:r>
              <w:rPr>
                <w:rFonts w:ascii="Arial" w:hAnsi="Arial"/>
                <w:b/>
                <w:sz w:val="19"/>
              </w:rPr>
              <w:t>#</w:t>
            </w:r>
          </w:p>
        </w:tc>
        <w:tc>
          <w:tcPr>
            <w:tcW w:type="dxa" w:w="6600"/>
          </w:tcPr>
          <w:p>
            <w:r>
              <w:rPr>
                <w:rFonts w:ascii="Arial" w:hAnsi="Arial"/>
                <w:b/>
                <w:sz w:val="19"/>
              </w:rPr>
              <w:t>Step</w:t>
            </w:r>
          </w:p>
        </w:tc>
        <w:tc>
          <w:tcPr>
            <w:tcW w:type="dxa" w:w="2260"/>
          </w:tcPr>
          <w:p>
            <w:r>
              <w:rPr>
                <w:rFonts w:ascii="Arial" w:hAnsi="Arial"/>
                <w:b/>
                <w:sz w:val="19"/>
              </w:rPr>
              <w:t>Owner</w:t>
            </w:r>
          </w:p>
        </w:tc>
      </w:tr>
      <w:tr>
        <w:trPr>
          <w:cantSplit/>
        </w:trPr>
        <w:tc>
          <w:tcPr>
            <w:tcW w:type="dxa" w:w="500"/>
          </w:tcPr>
          <w:p>
            <w:r>
              <w:rPr>
                <w:rFonts w:ascii="Arial" w:hAnsi="Arial"/>
                <w:sz w:val="19"/>
              </w:rPr>
              <w:t>1</w:t>
            </w:r>
          </w:p>
        </w:tc>
        <w:tc>
          <w:tcPr>
            <w:tcW w:type="dxa" w:w="6600"/>
          </w:tcPr>
          <w:p>
            <w:r>
              <w:rPr>
                <w:rFonts w:ascii="Arial" w:hAnsi="Arial"/>
                <w:sz w:val="19"/>
              </w:rPr>
              <w:t>Governing Council adopts dual-entity resolution; ratification per existing Bylaws thresholds</w:t>
            </w:r>
          </w:p>
        </w:tc>
        <w:tc>
          <w:tcPr>
            <w:tcW w:type="dxa" w:w="2260"/>
          </w:tcPr>
          <w:p>
            <w:r>
              <w:rPr>
                <w:rFonts w:ascii="Arial" w:hAnsi="Arial"/>
                <w:sz w:val="19"/>
              </w:rPr>
              <w:t>Council</w:t>
            </w:r>
          </w:p>
        </w:tc>
      </w:tr>
      <w:tr>
        <w:trPr>
          <w:cantSplit/>
        </w:trPr>
        <w:tc>
          <w:tcPr>
            <w:tcW w:type="dxa" w:w="500"/>
          </w:tcPr>
          <w:p>
            <w:r>
              <w:rPr>
                <w:rFonts w:ascii="Arial" w:hAnsi="Arial"/>
                <w:sz w:val="19"/>
              </w:rPr>
              <w:t>2</w:t>
            </w:r>
          </w:p>
        </w:tc>
        <w:tc>
          <w:tcPr>
            <w:tcW w:type="dxa" w:w="6600"/>
          </w:tcPr>
          <w:p>
            <w:r>
              <w:rPr>
                <w:rFonts w:ascii="Arial" w:hAnsi="Arial"/>
                <w:sz w:val="19"/>
              </w:rPr>
              <w:t>Retain Oregon nonprofit + cooperative counsel; resolve items C1–C4</w:t>
            </w:r>
          </w:p>
        </w:tc>
        <w:tc>
          <w:tcPr>
            <w:tcW w:type="dxa" w:w="2260"/>
          </w:tcPr>
          <w:p>
            <w:r>
              <w:rPr>
                <w:rFonts w:ascii="Arial" w:hAnsi="Arial"/>
                <w:sz w:val="19"/>
              </w:rPr>
              <w:t>ED / Council</w:t>
            </w:r>
          </w:p>
        </w:tc>
      </w:tr>
      <w:tr>
        <w:trPr>
          <w:cantSplit/>
        </w:trPr>
        <w:tc>
          <w:tcPr>
            <w:tcW w:type="dxa" w:w="500"/>
          </w:tcPr>
          <w:p>
            <w:r>
              <w:rPr>
                <w:rFonts w:ascii="Arial" w:hAnsi="Arial"/>
                <w:sz w:val="19"/>
              </w:rPr>
              <w:t>3</w:t>
            </w:r>
          </w:p>
        </w:tc>
        <w:tc>
          <w:tcPr>
            <w:tcW w:type="dxa" w:w="6600"/>
          </w:tcPr>
          <w:p>
            <w:r>
              <w:rPr>
                <w:rFonts w:ascii="Arial" w:hAnsi="Arial"/>
                <w:sz w:val="19"/>
              </w:rPr>
              <w:t>File Foundation articles (ORS Ch. 65) and IRS Form 1023; amend Cooperative articles as needed (ORS Ch. 62)</w:t>
            </w:r>
          </w:p>
        </w:tc>
        <w:tc>
          <w:tcPr>
            <w:tcW w:type="dxa" w:w="2260"/>
          </w:tcPr>
          <w:p>
            <w:r>
              <w:rPr>
                <w:rFonts w:ascii="Arial" w:hAnsi="Arial"/>
                <w:sz w:val="19"/>
              </w:rPr>
              <w:t>Counsel</w:t>
            </w:r>
          </w:p>
        </w:tc>
      </w:tr>
      <w:tr>
        <w:trPr>
          <w:cantSplit/>
        </w:trPr>
        <w:tc>
          <w:tcPr>
            <w:tcW w:type="dxa" w:w="500"/>
          </w:tcPr>
          <w:p>
            <w:r>
              <w:rPr>
                <w:rFonts w:ascii="Arial" w:hAnsi="Arial"/>
                <w:sz w:val="19"/>
              </w:rPr>
              <w:t>4</w:t>
            </w:r>
          </w:p>
        </w:tc>
        <w:tc>
          <w:tcPr>
            <w:tcW w:type="dxa" w:w="6600"/>
          </w:tcPr>
          <w:p>
            <w:r>
              <w:rPr>
                <w:rFonts w:ascii="Arial" w:hAnsi="Arial"/>
                <w:sz w:val="19"/>
              </w:rPr>
              <w:t>Execute HAIS license, cost-sharing agreement, and fund-transfer instruments (Human Asset Fund → Foundation)</w:t>
            </w:r>
          </w:p>
        </w:tc>
        <w:tc>
          <w:tcPr>
            <w:tcW w:type="dxa" w:w="2260"/>
          </w:tcPr>
          <w:p>
            <w:r>
              <w:rPr>
                <w:rFonts w:ascii="Arial" w:hAnsi="Arial"/>
                <w:sz w:val="19"/>
              </w:rPr>
              <w:t>Counsel / ED</w:t>
            </w:r>
          </w:p>
        </w:tc>
      </w:tr>
      <w:tr>
        <w:trPr>
          <w:cantSplit/>
        </w:trPr>
        <w:tc>
          <w:tcPr>
            <w:tcW w:type="dxa" w:w="500"/>
          </w:tcPr>
          <w:p>
            <w:r>
              <w:rPr>
                <w:rFonts w:ascii="Arial" w:hAnsi="Arial"/>
                <w:sz w:val="19"/>
              </w:rPr>
              <w:t>5</w:t>
            </w:r>
          </w:p>
        </w:tc>
        <w:tc>
          <w:tcPr>
            <w:tcW w:type="dxa" w:w="6600"/>
          </w:tcPr>
          <w:p>
            <w:r>
              <w:rPr>
                <w:rFonts w:ascii="Arial" w:hAnsi="Arial"/>
                <w:sz w:val="19"/>
              </w:rPr>
              <w:t>Launch Business Member program: Tier 1A staffing and Tier 1B bookkeeping cooperatives under Business Services Agreements</w:t>
            </w:r>
          </w:p>
        </w:tc>
        <w:tc>
          <w:tcPr>
            <w:tcW w:type="dxa" w:w="2260"/>
          </w:tcPr>
          <w:p>
            <w:r>
              <w:rPr>
                <w:rFonts w:ascii="Arial" w:hAnsi="Arial"/>
                <w:sz w:val="19"/>
              </w:rPr>
              <w:t>Cooperative</w:t>
            </w:r>
          </w:p>
        </w:tc>
      </w:tr>
      <w:tr>
        <w:trPr>
          <w:cantSplit/>
        </w:trPr>
        <w:tc>
          <w:tcPr>
            <w:tcW w:type="dxa" w:w="500"/>
          </w:tcPr>
          <w:p>
            <w:r>
              <w:rPr>
                <w:rFonts w:ascii="Arial" w:hAnsi="Arial"/>
                <w:sz w:val="19"/>
              </w:rPr>
              <w:t>6</w:t>
            </w:r>
          </w:p>
        </w:tc>
        <w:tc>
          <w:tcPr>
            <w:tcW w:type="dxa" w:w="6600"/>
          </w:tcPr>
          <w:p>
            <w:r>
              <w:rPr>
                <w:rFonts w:ascii="Arial" w:hAnsi="Arial"/>
                <w:sz w:val="19"/>
              </w:rPr>
              <w:t>Update all external materials (website, outreach, Onward Eugene framework) — completed in draft with this document</w:t>
            </w:r>
          </w:p>
        </w:tc>
        <w:tc>
          <w:tcPr>
            <w:tcW w:type="dxa" w:w="2260"/>
          </w:tcPr>
          <w:p>
            <w:r>
              <w:rPr>
                <w:rFonts w:ascii="Arial" w:hAnsi="Arial"/>
                <w:sz w:val="19"/>
              </w:rPr>
              <w:t>Staff</w:t>
            </w:r>
          </w:p>
        </w:tc>
      </w:tr>
    </w:tbl>
    <w:p/>
    <w:p>
      <w:pPr>
        <w:spacing w:after="160"/>
        <w:jc w:val="both"/>
      </w:pPr>
      <w:r>
        <w:rPr>
          <w:rFonts w:ascii="Arial" w:hAnsi="Arial"/>
          <w:b/>
          <w:sz w:val="22"/>
        </w:rPr>
        <w:t xml:space="preserve">Disclaimer. </w:t>
      </w:r>
      <w:r>
        <w:rPr>
          <w:rFonts w:ascii="Arial" w:hAnsi="Arial"/>
          <w:sz w:val="22"/>
        </w:rPr>
        <w:t>This document does not constitute legal or tax advice. Entity structuring, tax-exemption strategy, and all fund-transfer instruments require review by qualified Oregon counsel before adoption.</w:t>
      </w:r>
    </w:p>
    <w:p>
      <w:r>
        <w:rPr>
          <w:rFonts w:ascii="Arial" w:hAnsi="Arial"/>
          <w:i/>
          <w:sz w:val="18"/>
        </w:rPr>
        <w:t>Human Asset Cooperative of Eugene-Springfield  ·  The Dual-Entity Structure  ·  Draft 1.0  ·  July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