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 w:after="80"/>
        <w:jc w:val="center"/>
      </w:pPr>
      <w:r>
        <w:rPr>
          <w:rFonts w:ascii="Arial" w:hAnsi="Arial"/>
          <w:b/>
          <w:color w:val="1F4E79"/>
          <w:sz w:val="44"/>
        </w:rPr>
        <w:t>HUMAN ASSET COOPERATIVE</w:t>
      </w:r>
    </w:p>
    <w:p>
      <w:pPr>
        <w:spacing w:after="60"/>
        <w:jc w:val="center"/>
      </w:pPr>
      <w:r>
        <w:rPr>
          <w:rFonts w:ascii="Arial" w:hAnsi="Arial"/>
          <w:i/>
          <w:color w:val="595959"/>
          <w:sz w:val="22"/>
        </w:rPr>
        <w:t>of Eugene-Springfield</w:t>
      </w:r>
    </w:p>
    <w:p>
      <w:pPr>
        <w:pStyle w:val="Normal"/>
        <w:rPr>
          <w:b/>
          <w:color w:val="7c3aed"/>
        </w:rPr>
      </w:pPr>
      <w:r>
        <w:rPr>
          <w:b/>
          <w:color w:val="7c3aed"/>
        </w:rPr>
        <w:t>ENTITY STRUCTURE (2026): HAC-ES now operates as a hybrid nonprofit-cooperative organization. The 501(c)(3) nonprofit entity manages charitable programs, grants, and tax-exempt fundraising. The worker cooperative entity manages operations and distributes Human Asset Dividends to members annually. An Inter-entity Services Agreement governs collaboration between the two entities.</w:t>
      </w:r>
    </w:p>
    <w:p>
      <w:pPr>
        <w:pStyle w:val="Normal"/>
        <w:rPr>
          <w:b/>
          <w:color w:val="7c3aed"/>
        </w:rPr>
      </w:pPr>
      <w:r>
        <w:rPr>
          <w:b/>
          <w:color w:val="7c3aed"/>
        </w:rPr>
        <w:t xml:space="preserve">Employment placements may be into either entity. Cooperative employees receive Human Asset Dividends in addition to wages.</w:t>
      </w:r>
    </w:p>
    <w:p>
      <w:pPr>
        <w:spacing w:before="80" w:after="80"/>
        <w:jc w:val="center"/>
      </w:pPr>
      <w:r>
        <w:rPr>
          <w:rFonts w:ascii="Arial" w:hAnsi="Arial"/>
          <w:b/>
          <w:color w:val="1F4E79"/>
          <w:sz w:val="28"/>
        </w:rPr>
        <w:t>EMPLOYMENT STRATEGY</w:t>
      </w:r>
    </w:p>
    <w:p>
      <w:pPr>
        <w:spacing w:after="60"/>
        <w:jc w:val="center"/>
      </w:pPr>
      <w:r>
        <w:rPr>
          <w:rFonts w:ascii="Arial" w:hAnsi="Arial"/>
          <w:i/>
          <w:color w:val="595959"/>
          <w:sz w:val="22"/>
        </w:rPr>
        <w:t>How HAC-ES Mitigates Unemployment and Creates Good Jobs in Lane County</w:t>
      </w:r>
    </w:p>
    <w:p>
      <w:pPr>
        <w:spacing w:after="60"/>
        <w:jc w:val="center"/>
      </w:pPr>
      <w:r>
        <w:rPr>
          <w:rFonts w:ascii="Arial" w:hAnsi="Arial"/>
          <w:i/>
          <w:color w:val="595959"/>
          <w:sz w:val="22"/>
        </w:rPr>
        <w:t>Lane County Unemployment: 4.8%–5.0% (2025)  ·  Seven Levers  ·  HAIS Employment Module  ·  Green Jobs Pipeline  ·  Cooperative Incubation  ·  Local Job Guarantee Pilot</w:t>
      </w:r>
    </w:p>
    <w:p>
      <w:pPr>
        <w:spacing w:after="40"/>
      </w:pPr>
    </w:p>
    <w:p>
      <w:pPr>
        <w:pStyle w:val="Heading2"/>
      </w:pPr>
      <w:r>
        <w:t>DRAFT — CONSOLIDATED EDITION · For Governing Council and Member Review · July 2026</w:t>
      </w:r>
    </w:p>
    <w:p>
      <w:pPr>
        <w:jc w:val="center"/>
      </w:pPr>
      <w:r>
        <w:rPr>
          <w:rFonts w:ascii="Arial" w:hAnsi="Arial"/>
          <w:b/>
          <w:color w:val="1F4E5F"/>
          <w:sz w:val="32"/>
        </w:rPr>
        <w:t>ENTITY STRUCTURE AND PROGRAM ASSIGNMENT</w:t>
      </w:r>
    </w:p>
    <w:p>
      <w:pPr>
        <w:jc w:val="center"/>
      </w:pPr>
      <w:r>
        <w:rPr>
          <w:rFonts w:ascii="Arial" w:hAnsi="Arial"/>
          <w:i/>
          <w:sz w:val="20"/>
        </w:rPr>
        <w:t>Integrated pursuant to The Dual-Entity Structure and Articles &amp; Bylaws v5 · July 2026</w:t>
      </w:r>
    </w:p>
    <w:p>
      <w:pPr>
        <w:keepNext/>
        <w:spacing w:before="320" w:after="200"/>
      </w:pPr>
      <w:r>
        <w:rPr>
          <w:rFonts w:ascii="Arial" w:hAnsi="Arial"/>
          <w:b/>
          <w:color w:val="1F4E5F"/>
          <w:sz w:val="30"/>
        </w:rPr>
        <w:t>ENTITY ASSIGNMENT OF THIS DOCUMENT'S PROGRAMS</w:t>
      </w:r>
    </w:p>
    <w:p>
      <w:pPr>
        <w:spacing w:after="160"/>
        <w:jc w:val="both"/>
      </w:pPr>
      <w:r>
        <w:rPr>
          <w:rFonts w:ascii="Arial" w:hAnsi="Arial"/>
          <w:sz w:val="22"/>
        </w:rPr>
        <w:t>HAC-ES now operates as two affiliated entities: the Human Asset Foundation of Eugene-Springfield (Oregon ORS Ch. 65 nonprofit; 501(c)(3) application pending) and the Human Asset Cooperative of Eugene-Springfield (ORS Ch. 62 worker and community cooperative). Assignment of this document's programs:</w:t>
      </w:r>
    </w:p>
    <w:p>
      <w:pPr>
        <w:spacing w:after="160"/>
        <w:jc w:val="both"/>
      </w:pPr>
      <w:r>
        <w:rPr>
          <w:rFonts w:ascii="Arial" w:hAnsi="Arial"/>
          <w:sz w:val="22"/>
        </w:rPr>
        <w:t>Levers 1, 2, 6, and 8 (matching, cooperative job creation, unpaid-work recognition, Member Security) operate in the Cooperative; Levers 3 and 4 (training funds, basic needs floor) are Foundation charitable programs; Lever 5 (Green Jobs) spans both via IRA §6417 direct pay (Foundation) and enterprise incubation (Cooperative); Lever 7 (policy advocacy) moves entirely to the Cooperative, removing 501(c)(3) lobbying limits. The Tier 1A Staffing Cooperative becomes Lever 2's flagship earned-revenue vehicle (projected $150K–$300K Year 1).</w:t>
      </w:r>
    </w:p>
    <w:p>
      <w:pPr>
        <w:pStyle w:val="Heading2"/>
      </w:pPr>
      <w:r>
        <w:t>EXECUTIVE SUMMARY</w:t>
      </w:r>
    </w:p>
    <w:p>
      <w:pPr>
        <w:spacing w:after="140"/>
      </w:pPr>
      <w:r>
        <w:rPr>
          <w:rFonts w:ascii="Arial" w:hAnsi="Arial"/>
          <w:b w:val="0"/>
          <w:i w:val="0"/>
          <w:sz w:val="21"/>
        </w:rPr>
        <w:t>Lane County is experiencing a jobs crisis. The unemployment rate reached 4.8–5.0% in 2025 — above the national average and rising steadily since May 2023. Employment decreased across 6 of Oregon's 7 largest counties in the 12 months to March 2025. The job market is, in the words of the Oregon Employment Department, 'frozen' — with fewer vacancies for a growing number of unemployed workers. Despite average annual wages exceeding $52,000 for the first time since 1979, approximately 57% of Lane County jobs still pay below that figure, and entry-level workers face a market where even minimum-wage jobs require 20+ applications.</w:t>
      </w:r>
    </w:p>
    <w:p>
      <w:pPr>
        <w:spacing w:after="140"/>
      </w:pPr>
      <w:r>
        <w:rPr>
          <w:rFonts w:ascii="Arial" w:hAnsi="Arial"/>
          <w:b w:val="0"/>
          <w:i w:val="0"/>
          <w:sz w:val="21"/>
        </w:rPr>
        <w:t>Conventional unemployment programs treat this as a personal matching problem: connect unemployed individuals to available jobs through job boards, training, and case management. HAC-ES starts from a different premise: unemployment is a market design failure. The economy is not creating enough good jobs, not matching available skills to available work, not valuing the full range of human contribution, and not investing in the human potential that would generate more economic activity if properly supported.</w:t>
      </w:r>
    </w:p>
    <w:p>
      <w:pPr>
        <w:spacing w:after="140"/>
      </w:pPr>
      <w:r>
        <w:rPr>
          <w:rFonts w:ascii="Arial" w:hAnsi="Arial"/>
          <w:b w:val="0"/>
          <w:i w:val="0"/>
          <w:sz w:val="21"/>
        </w:rPr>
        <w:t>That reframe changes everything about the solution. HAC-ES addresses unemployment through seven simultaneous levers — each attacking a different root cause, each reinforcing the others. The result is not a job placement service but a community employment ecosystem: one that creates jobs, fills them, trains for them, supports people through gaps, recognizes unpaid work, and advocates for the structural changes that would lift employment across the entire region.</w:t>
      </w:r>
    </w:p>
    <w:p>
      <w:pPr>
        <w:spacing w:after="140"/>
      </w:pPr>
      <w:r>
        <w:rPr>
          <w:rFonts w:ascii="Arial" w:hAnsi="Arial"/>
          <w:b w:val="0"/>
          <w:i w:val="0"/>
          <w:sz w:val="21"/>
        </w:rPr>
        <w:t xml:space="preserve">Within this ecosystem, HAC’s cooperative incubation and Green Jobs Pipeline are deliberately designed to function as a locally-led job guarantee pilot — grounded in the same design principles as the Marienthal experiment in Austria, which demonstrated that voluntary, community-rooted job guarantees achieve 60–80% public support and deliver durable employment outcomes. As documented in Markets Built for Humans (Beinhocker &amp; Hanauer, 2026), locally-led pilots of this kind are specifically recommended as the most viable entry point for job guarantee policy in the United States. HAC’s model includes the three features that made Marienthal work: a preparatory skills pathway before placement, a mix of subsidized private-sector placements and public-good work, and a voluntary structure with no penalty for declining. This framing positions HAC for national pilot funding streams, establishes a replicable model for other Oregon communities, and provides the political legitimacy that attaches to a program with documented precedent.</w:t>
      </w: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The Core Data Lane County unemployment: 4.8% (July 2025), up from 4.2% in July 2024. Eugene-Springfield seasonally adjusted rate: 5.0% (late 2025), up from 3.6% low in May 2023. 57% of Lane County jobs pay below the average annual wage of $52,596. Entry-level workers report applying to 20+ positions before receiving a callback. Oregon Employment Department characterization: 'job market in a frozen state.' Source: OED Regional Labor Economist Brian Rooney, September 2025.</w:t>
            </w:r>
          </w:p>
        </w:tc>
      </w:tr>
    </w:tbl>
    <w:p>
      <w:pPr>
        <w:spacing w:after="80"/>
      </w:pPr>
    </w:p>
    <w:p>
      <w:pPr>
        <w:pStyle w:val="Heading1"/>
        <w:pBdr>
          <w:bottom w:val="single" w:sz="8" w:space="2" w:color="2E75B6"/>
        </w:pBdr>
      </w:pPr>
      <w:r>
        <w:t>PART I</w:t>
      </w:r>
    </w:p>
    <w:p>
      <w:pPr>
        <w:pStyle w:val="Heading2"/>
      </w:pPr>
      <w:r>
        <w:t>THE SEVEN LEVERS OF EMPLOYMENT IMPACT</w:t>
      </w:r>
    </w:p>
    <w:p>
      <w:pPr>
        <w:pStyle w:val="Heading2"/>
      </w:pPr>
      <w:r>
        <w:t>LEVER FRAMEWORK OVERVIEW</w:t>
      </w:r>
    </w:p>
    <w:p>
      <w:pPr>
        <w:spacing w:after="140"/>
      </w:pPr>
      <w:r>
        <w:rPr>
          <w:rFonts w:ascii="Arial" w:hAnsi="Arial"/>
          <w:b w:val="0"/>
          <w:i w:val="0"/>
          <w:sz w:val="21"/>
        </w:rPr>
        <w:t>Each lever addresses a distinct root cause of unemployment. They are not sequential — all seven operate simultaneously. Each reinforces the others: basic needs security (Lever 4) makes training (Lever 3) possible; training enables job matching (Lever 1); job matching reduces the demand for cooperative incubation (Lever 2); incubation creates employers who participate in the Organizational Member network that powers all levers.</w:t>
      </w:r>
    </w:p>
    <w:tbl>
      <w:tblPr>
        <w:tblStyle w:val="TableGrid"/>
        <w:tblW w:type="auto" w:w="0"/>
        <w:jc w:val="left"/>
        <w:tblLook w:firstColumn="1" w:firstRow="1" w:lastColumn="0" w:lastRow="0" w:noHBand="0" w:noVBand="1" w:val="04A0"/>
        <w:tblW w:w="8640" w:type="dxa"/>
      </w:tblPr>
      <w:tblGrid>
        <w:gridCol w:w="2250"/>
        <w:gridCol w:w="2250"/>
        <w:gridCol w:w="2250"/>
        <w:gridCol w:w="2250"/>
      </w:tblGrid>
      <w:tr>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Lever</w:t>
            </w:r>
          </w:p>
        </w:tc>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Name</w:t>
            </w:r>
          </w:p>
        </w:tc>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Mechanism</w:t>
            </w:r>
          </w:p>
        </w:tc>
        <w:tc>
          <w:tcPr>
            <w:tcW w:type="dxa" w:w="2250"/>
            <w:tcBorders>
              <w:top w:val="single" w:sz="4" w:color="CCCCCC"/>
              <w:bottom w:val="single" w:sz="4" w:color="CCCCCC"/>
              <w:left w:val="single" w:sz="4" w:color="CCCCCC"/>
              <w:right w:val="single" w:sz="4" w:color="CCCCCC"/>
            </w:tcBorders>
            <w:shd w:val="clear" w:color="auto" w:fill="1F4E79"/>
            <w:tcW w:w="2160" w:type="dxa"/>
          </w:tcPr>
          <w:p>
            <w:pPr>
              <w:spacing w:after="0"/>
            </w:pPr>
            <w:r>
              <w:rPr>
                <w:rFonts w:ascii="Arial" w:hAnsi="Arial"/>
                <w:b/>
                <w:i w:val="0"/>
                <w:color w:val="FFFFFF"/>
                <w:sz w:val="19"/>
              </w:rPr>
              <w:t>Timeline</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Lever 1</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HAIS Employment Module</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Real-time matching of unemployed members to job openings</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Immediate — Phase 2</w:t>
            </w:r>
          </w:p>
        </w:tc>
      </w:tr>
      <w:tr>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i w:val="0"/>
                <w:color w:val="1C1C1A"/>
                <w:sz w:val="19"/>
              </w:rPr>
              <w:t>Lever 2</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Cooperative Employer Network</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Creating jobs through cooperative conversion and incubation</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6–18 months</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Lever 3</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Human Asset Development</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Funded skills training eliminating the skills gap</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3–6 months</w:t>
            </w:r>
          </w:p>
        </w:tc>
      </w:tr>
      <w:tr>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i w:val="0"/>
                <w:color w:val="1C1C1A"/>
                <w:sz w:val="19"/>
              </w:rPr>
              <w:t>Lever 4</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Basic Needs Floor</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Removing the desperation premium from job search</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Immediate — Phase 1</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Lever 5</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Green Jobs Pipeline</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Connecting members to the clean energy job creation wave</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6–12 months</w:t>
            </w:r>
          </w:p>
        </w:tc>
      </w:tr>
      <w:tr>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i w:val="0"/>
                <w:color w:val="1C1C1A"/>
                <w:sz w:val="19"/>
              </w:rPr>
              <w:t>Lever 6</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Full Economy Recognition</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Crediting unpaid caregiving and community work</w:t>
            </w:r>
          </w:p>
        </w:tc>
        <w:tc>
          <w:tcPr>
            <w:tcW w:type="dxa" w:w="2250"/>
            <w:tcBorders>
              <w:top w:val="single" w:sz="4" w:color="CCCCCC"/>
              <w:bottom w:val="single" w:sz="4" w:color="CCCCCC"/>
              <w:left w:val="single" w:sz="4" w:color="CCCCCC"/>
              <w:right w:val="single" w:sz="4" w:color="CCCCCC"/>
            </w:tcBorders>
            <w:shd w:val="clear" w:color="auto" w:fill="FFFFFF"/>
            <w:tcW w:w="2160" w:type="dxa"/>
          </w:tcPr>
          <w:p>
            <w:pPr>
              <w:spacing w:after="0"/>
            </w:pPr>
            <w:r>
              <w:rPr>
                <w:rFonts w:ascii="Arial" w:hAnsi="Arial"/>
                <w:b w:val="0"/>
                <w:i w:val="0"/>
                <w:color w:val="1C1C1A"/>
                <w:sz w:val="19"/>
              </w:rPr>
              <w:t>Phase 2</w:t>
            </w:r>
          </w:p>
        </w:tc>
      </w:tr>
      <w:tr>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i w:val="0"/>
                <w:color w:val="1C1C1A"/>
                <w:sz w:val="19"/>
              </w:rPr>
              <w:t>Lever 7</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Policy Advocacy</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Structural changes that lift employment region-wide</w:t>
            </w:r>
          </w:p>
        </w:tc>
        <w:tc>
          <w:tcPr>
            <w:tcW w:type="dxa" w:w="2250"/>
            <w:tcBorders>
              <w:top w:val="single" w:sz="4" w:color="CCCCCC"/>
              <w:bottom w:val="single" w:sz="4" w:color="CCCCCC"/>
              <w:left w:val="single" w:sz="4" w:color="CCCCCC"/>
              <w:right w:val="single" w:sz="4" w:color="CCCCCC"/>
            </w:tcBorders>
            <w:shd w:val="clear" w:color="auto" w:fill="F5F5F5"/>
            <w:tcW w:w="2160" w:type="dxa"/>
          </w:tcPr>
          <w:p>
            <w:pPr>
              <w:spacing w:after="0"/>
            </w:pPr>
            <w:r>
              <w:rPr>
                <w:rFonts w:ascii="Arial" w:hAnsi="Arial"/>
                <w:b w:val="0"/>
                <w:i w:val="0"/>
                <w:color w:val="1C1C1A"/>
                <w:sz w:val="19"/>
              </w:rPr>
              <w:t>12–36 months</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1  ·  HAIS Employment Module: Real-Time Matching</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The HAIS Employment Module is a continuously updated, consent-based map of who needs work, what they are capable of, and who needs workers among the Cooperative's Organizational Member network. Unlike job boards that require active searching, the HAIS works for the member every day — matching their profile against new openings, identifying skill gaps that are blocking opportunities, and alerting them to relevant positions before they are publicly posted. </w:t>
            </w:r>
            <w:r>
              <w:rPr>
                <w:rFonts w:ascii="Arial" w:hAnsi="Arial"/>
                <w:b/>
                <w:i w:val="0"/>
                <w:color w:val="1C1C1A"/>
                <w:sz w:val="19"/>
              </w:rPr>
              <w:t>How HAC-ES implements it</w:t>
            </w:r>
            <w:r>
              <w:rPr>
                <w:rFonts w:ascii="Arial" w:hAnsi="Arial"/>
                <w:b w:val="0"/>
                <w:i w:val="0"/>
                <w:color w:val="1C1C1A"/>
                <w:sz w:val="19"/>
              </w:rPr>
              <w:t xml:space="preserve"> Member employment profiles are maintained in the HAIS member registry, updated through periodic check-ins and voluntary skills assessments. Organizational Members who hire declare their workforce needs through the HAIS platform. The matching algorithm runs continuously, generating ranked match lists for both job seekers and employers. Members receive personalized 'employment opportunity alerts' via the HAIS communications engine. The HAIS also maintains a Lane County job market data feed from Oregon Employment Department public data, identifying sectors where demand is growing and alerting members with relevant skills. </w:t>
            </w:r>
            <w:r>
              <w:rPr>
                <w:rFonts w:ascii="Arial" w:hAnsi="Arial"/>
                <w:b/>
                <w:i w:val="0"/>
                <w:color w:val="1C1C1A"/>
                <w:sz w:val="19"/>
              </w:rPr>
              <w:t xml:space="preserve">Primary success metric:  </w:t>
            </w:r>
            <w:r>
              <w:rPr>
                <w:rFonts w:ascii="Arial" w:hAnsi="Arial"/>
                <w:b w:val="0"/>
                <w:i/>
                <w:color w:val="1C1C1A"/>
                <w:sz w:val="19"/>
              </w:rPr>
              <w:t>Members who receive HAIS employment matches and begin jobs within 90 days — tracked quarterly</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Immediate — available as a Phase 2 HAIS function (Months 3–9 of HAIS deployment)</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2  ·  Cooperative Employer Network: Creating Jobs</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The deepest unemployment solution is not matching people to existing jobs — it is creating new ones. HAC-ES has a structural advantage no conventional job placement program has: a network of Organizational Members who are mission-aligned employers committed to good jobs, living wages, and worker voice. Three specific mechanisms create new employment within this network: cooperative conversion, cooperative incubation, and social enterprise development. Together, these three mechanisms constitute HAC’s locally-led job guarantee pilot — designed around the Marienthal model that showed voluntary job guarantees achieve 60–80% public support. Every long-term unemployed member who wants work is offered a pathway: first a preparatory skills course, then a placement — either with a mission-aligned Organizational Member employer or on community public-good work (green infrastructure, care services, urban food systems). Participation is strictly voluntary. This is what distinguishes the HAC model from “workfare” and is a condition of its political durability. </w:t>
            </w:r>
            <w:r>
              <w:rPr>
                <w:rFonts w:ascii="Arial" w:hAnsi="Arial"/>
                <w:b/>
                <w:i w:val="0"/>
                <w:color w:val="1C1C1A"/>
                <w:sz w:val="19"/>
              </w:rPr>
              <w:t>How HAC-ES implements it</w:t>
            </w:r>
            <w:r>
              <w:rPr>
                <w:rFonts w:ascii="Arial" w:hAnsi="Arial"/>
                <w:b w:val="0"/>
                <w:i w:val="0"/>
                <w:color w:val="1C1C1A"/>
                <w:sz w:val="19"/>
              </w:rPr>
              <w:t xml:space="preserve"> Cooperative conversion pipeline: HAIS continuously identifies Lane County businesses nearing ownership transitions (retirement, exit) and coordinates technical assistance with the Oregon Employee Ownership Center to help employees purchase the business as a worker cooperative or ESOP. This preserves and democratizes existing jobs. Cooperative business incubation: HAC-ES seeds new worker cooperatives in sectors with unmet Lane County needs — childcare, elder care, food production, construction trades, green energy installation, technology services. The Human Asset Fund provides seed capital. HAIS provides market analysis and customer matching. Social enterprise development: every service HAC-ES needs to operate can be contracted to member-owned social enterprises, making HAC-ES an anchor customer that de-risks new worker-owned businesses from Day 1. </w:t>
            </w:r>
            <w:r>
              <w:rPr>
                <w:rFonts w:ascii="Arial" w:hAnsi="Arial"/>
                <w:b/>
                <w:i w:val="0"/>
                <w:color w:val="1C1C1A"/>
                <w:sz w:val="19"/>
              </w:rPr>
              <w:t xml:space="preserve">Primary success metric:  </w:t>
            </w:r>
            <w:r>
              <w:rPr>
                <w:rFonts w:ascii="Arial" w:hAnsi="Arial"/>
                <w:b w:val="0"/>
                <w:i/>
                <w:color w:val="1C1C1A"/>
                <w:sz w:val="19"/>
              </w:rPr>
              <w:t>New jobs created through cooperative conversion and incubation — tracked annually</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6–18 months for first conversions; incubator operational by Month 12</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3  ·  Human Asset Development: Eliminating the Skills Gap</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Unemployment in Lane County is often not about lack of jobs — it is a mismatch between the skills members have and the skills the market pays for. The HAIS Employment Module identifies this gap at the individual level: 'you are two certifications away from a living-wage job in this field.' The Human Asset Development fund (Priority 3) pays for the training — so the choice between feeding your family today and investing in your future is never one you have to make. </w:t>
            </w:r>
            <w:r>
              <w:rPr>
                <w:rFonts w:ascii="Arial" w:hAnsi="Arial"/>
                <w:b/>
                <w:i w:val="0"/>
                <w:color w:val="1C1C1A"/>
                <w:sz w:val="19"/>
              </w:rPr>
              <w:t>How HAC-ES implements it</w:t>
            </w:r>
            <w:r>
              <w:rPr>
                <w:rFonts w:ascii="Arial" w:hAnsi="Arial"/>
                <w:b w:val="0"/>
                <w:i w:val="0"/>
                <w:color w:val="1C1C1A"/>
                <w:sz w:val="19"/>
              </w:rPr>
              <w:t xml:space="preserve"> HAIS maintains a skills gap dashboard: for each unemployed or underemployed member, it compares their current skills profile against the top 20 highest-demand, highest-wage occupational categories in Lane County (from Oregon Employment Department's Lane Occupations in Demand 2024–2034 dataset). When the gap is closeable through a Lane Community College certificate program or industry credential, the HAIS generates a personalized Pathway Plan and the HAC-ES Human Asset Fund covers tuition. A training stipend drawn from Priority 3 fund deployments ensures members can complete programs without working multiple jobs simultaneously. Lane Workforce Partnership (Organizational Member) routes federal WIOA workforce funds to HAC-ES members, multiplying the training investment. </w:t>
            </w:r>
            <w:r>
              <w:rPr>
                <w:rFonts w:ascii="Arial" w:hAnsi="Arial"/>
                <w:b/>
                <w:i w:val="0"/>
                <w:color w:val="1C1C1A"/>
                <w:sz w:val="19"/>
              </w:rPr>
              <w:t xml:space="preserve">Primary success metric:  </w:t>
            </w:r>
            <w:r>
              <w:rPr>
                <w:rFonts w:ascii="Arial" w:hAnsi="Arial"/>
                <w:b w:val="0"/>
                <w:i/>
                <w:color w:val="1C1C1A"/>
                <w:sz w:val="19"/>
              </w:rPr>
              <w:t>Members who complete training pathways and achieve wage increases of 15%+ within 12 months</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3–6 months — Lane Community College partnerships can be established immediately</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4  ·  Basic Needs Floor: Removing the Desperation Premium</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This is the least obvious but most powerful unemployment lever. When someone is in survival mode — one missed paycheck from eviction, one medical bill from crisis — they cannot negotiate. They take whatever job is available at whatever wage is offered, and they stay in it because leaving feels too risky. This is the desperation premium: the economic cost of poverty that compounds poverty. It is why low-income workers are systematically unable to make the free market choices that neoclassical economics assumes everyone makes. </w:t>
            </w:r>
            <w:r>
              <w:rPr>
                <w:rFonts w:ascii="Arial" w:hAnsi="Arial"/>
                <w:b/>
                <w:i w:val="0"/>
                <w:color w:val="1C1C1A"/>
                <w:sz w:val="19"/>
              </w:rPr>
              <w:t>How HAC-ES implements it</w:t>
            </w:r>
            <w:r>
              <w:rPr>
                <w:rFonts w:ascii="Arial" w:hAnsi="Arial"/>
                <w:b w:val="0"/>
                <w:i w:val="0"/>
                <w:color w:val="1C1C1A"/>
                <w:sz w:val="19"/>
              </w:rPr>
              <w:t xml:space="preserve"> HAC-ES's Priority 1 and 2 fund deployments establish a guaranteed basic needs floor for all enrolled Individual Members in good standing. Housing stability, food security, and healthcare access are maintained regardless of employment status. This removes the desperation premium entirely: a member who knows their family will eat and their housing is secure can decline exploitative jobs, hold out for work matching their skills, complete a training program, or take the risk of starting a cooperative business. The HAIS measures this effect directly: for each member whose basic needs are secured, it tracks subsequent employment outcomes against a baseline — documenting the economic return on the basic needs investment. </w:t>
            </w:r>
            <w:r>
              <w:rPr>
                <w:rFonts w:ascii="Arial" w:hAnsi="Arial"/>
                <w:b/>
                <w:i w:val="0"/>
                <w:color w:val="1C1C1A"/>
                <w:sz w:val="19"/>
              </w:rPr>
              <w:t xml:space="preserve">Primary success metric:  </w:t>
            </w:r>
            <w:r>
              <w:rPr>
                <w:rFonts w:ascii="Arial" w:hAnsi="Arial"/>
                <w:b w:val="0"/>
                <w:i/>
                <w:color w:val="1C1C1A"/>
                <w:sz w:val="19"/>
              </w:rPr>
              <w:t>Employment outcomes (wages, job quality, retention) for members with secured basic needs vs. those without — proving the ROI of the basic needs floor</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Immediate — Priority 1 and 2 fund deployments begin in Phase 1 of HAIS deployment</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5  ·  Green Jobs Pipeline: The Clean Energy Transition</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The federal Inflation Reduction Act and Oregon's Climate Action Plan have created the largest clean energy job creation opportunity in Lane County's history. Building weatherization, heat pump installation, solar panel deployment, EV infrastructure, and green building trades are all growing rapidly. The problem: the people who most need good jobs are the least connected to this opportunity. HAC-ES closes that gap. </w:t>
            </w:r>
            <w:r>
              <w:rPr>
                <w:rFonts w:ascii="Arial" w:hAnsi="Arial"/>
                <w:b/>
                <w:i w:val="0"/>
                <w:color w:val="1C1C1A"/>
                <w:sz w:val="19"/>
              </w:rPr>
              <w:t>How HAC-ES implements it</w:t>
            </w:r>
            <w:r>
              <w:rPr>
                <w:rFonts w:ascii="Arial" w:hAnsi="Arial"/>
                <w:b w:val="0"/>
                <w:i w:val="0"/>
                <w:color w:val="1C1C1A"/>
                <w:sz w:val="19"/>
              </w:rPr>
              <w:t xml:space="preserve"> The HAIS Green Jobs Pipeline identifies HAC-ES members who are unemployed or underemployed in sectors being disrupted by automation or economic change, and assesses their aptitude and interest in clean energy trades. HAC-ES partners with EWEB, Oregon Building Trades, and Lane Community College to create clean energy trades training pathways funded through IRA workforce provisions, Oregon Climate Action Plan investments, and the HAC-ES Human Asset Fund. Graduates are placed with Organizational Member contractors doing weatherization, heat pump installation, solar deployment, and EV infrastructure work. Over time, HAC-ES incubates worker-owned green energy enterprises capitalized by the Human Asset Fund and contracted by EWEB and the City of Eugene. The Green Jobs Pipeline serves double duty: it addresses unemployment and directly advances Lane County's Climate Action Plan 2.0 targets. </w:t>
            </w:r>
            <w:r>
              <w:rPr>
                <w:rFonts w:ascii="Arial" w:hAnsi="Arial"/>
                <w:b/>
                <w:i w:val="0"/>
                <w:color w:val="1C1C1A"/>
                <w:sz w:val="19"/>
              </w:rPr>
              <w:t xml:space="preserve">Primary success metric:  </w:t>
            </w:r>
            <w:r>
              <w:rPr>
                <w:rFonts w:ascii="Arial" w:hAnsi="Arial"/>
                <w:b w:val="0"/>
                <w:i/>
                <w:color w:val="1C1C1A"/>
                <w:sz w:val="19"/>
              </w:rPr>
              <w:t>Members placed in clean energy jobs; aggregate emissions reductions attributable to HAC-ES-trained workforce — dual metric serving both employment and environmental goals</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6–12 months for training partnerships; worker-owned green enterprise incubation by Year 2</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6  ·  Full Economy Recognition: Unpaid Work Counts</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A significant portion of what economists count as 'unemployment' is people doing essential work that the market doesn't pay for — caregiving for children, elderly parents, or family members with disabilities; community organizing; mutual aid; creative and civic contribution. These workers are not economically inactive — they are sustaining the social infrastructure on which all economic activity depends. HAC-ES formally recognizes and partially compensates this work. </w:t>
            </w:r>
            <w:r>
              <w:rPr>
                <w:rFonts w:ascii="Arial" w:hAnsi="Arial"/>
                <w:b/>
                <w:i w:val="0"/>
                <w:color w:val="1C1C1A"/>
                <w:sz w:val="19"/>
              </w:rPr>
              <w:t>How HAC-ES implements it</w:t>
            </w:r>
            <w:r>
              <w:rPr>
                <w:rFonts w:ascii="Arial" w:hAnsi="Arial"/>
                <w:b w:val="0"/>
                <w:i w:val="0"/>
                <w:color w:val="1C1C1A"/>
                <w:sz w:val="19"/>
              </w:rPr>
              <w:t xml:space="preserve"> Service Contribution Credits: members who cannot pay membership fees in cash pay in documented community service hours at $15/hour equivalent, formally recognizing that their contribution to the Cooperative's mission is real economic value. Over time, HAC-ES develops a complementary credit system — modeled on time banking and care economy networks — administered by the HAIS. Members exchange caregiving, skills, and community services within the network. A member who provides elder care for a neighbor earns credits redeemable for services they need. The HAIS administers matching, tracking, and the credit ledger. HAC-ES also advocates for care economy policies: publicly funded childcare, caregiver compensation, and the inclusion of unpaid care work in regional economic accounting. </w:t>
            </w:r>
            <w:r>
              <w:rPr>
                <w:rFonts w:ascii="Arial" w:hAnsi="Arial"/>
                <w:b/>
                <w:i w:val="0"/>
                <w:color w:val="1C1C1A"/>
                <w:sz w:val="19"/>
              </w:rPr>
              <w:t xml:space="preserve">Primary success metric:  </w:t>
            </w:r>
            <w:r>
              <w:rPr>
                <w:rFonts w:ascii="Arial" w:hAnsi="Arial"/>
                <w:b w:val="0"/>
                <w:i/>
                <w:color w:val="1C1C1A"/>
                <w:sz w:val="19"/>
              </w:rPr>
              <w:t>Total value of service contribution credits issued annually — making visible the economic value of unpaid work the conventional economy ignores</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Phase 2 for service credits; full time banking system by Phase 3</w:t>
            </w:r>
          </w:p>
        </w:tc>
      </w:tr>
    </w:tbl>
    <w:p>
      <w:pPr>
        <w:spacing w:after="80"/>
      </w:pPr>
    </w:p>
    <w:tbl>
      <w:tblPr>
        <w:tblStyle w:val="TableGrid"/>
        <w:tblW w:type="auto" w:w="0"/>
        <w:jc w:val="left"/>
        <w:tblLook w:firstColumn="1" w:firstRow="1" w:lastColumn="0" w:lastRow="0" w:noHBand="0" w:noVBand="1" w:val="04A0"/>
        <w:tblW w:w="8640" w:type="dxa"/>
      </w:tblPr>
      <w:tblGrid>
        <w:gridCol w:w="9000"/>
      </w:tblGrid>
      <w:tr>
        <w:tc>
          <w:tcPr>
            <w:tcW w:type="dxa" w:w="9000"/>
            <w:tcBorders>
              <w:top w:val="single" w:sz="4" w:color="CCCCCC"/>
              <w:bottom w:val="single" w:sz="4" w:color="CCCCCC"/>
              <w:left w:val="single" w:sz="4" w:color="CCCCCC"/>
              <w:right w:val="single" w:sz="4" w:color="CCCCCC"/>
            </w:tcBorders>
            <w:shd w:val="clear" w:color="auto" w:fill="1F4E79"/>
            <w:tcW w:w="8640" w:type="dxa"/>
          </w:tcPr>
          <w:p>
            <w:pPr>
              <w:spacing w:after="0"/>
            </w:pPr>
            <w:r>
              <w:rPr>
                <w:rFonts w:ascii="Arial" w:hAnsi="Arial"/>
                <w:b/>
                <w:i w:val="0"/>
                <w:color w:val="FFFFFF"/>
                <w:sz w:val="19"/>
              </w:rPr>
              <w:t>LEVER 7  ·  Policy Advocacy: Changing the Rules</w:t>
            </w:r>
          </w:p>
        </w:tc>
      </w:tr>
      <w:tr>
        <w:tc>
          <w:tcPr>
            <w:tcW w:type="dxa" w:w="9000"/>
            <w:tcBorders>
              <w:top w:val="single" w:sz="4" w:color="CCCCCC"/>
              <w:bottom w:val="single" w:sz="4" w:color="CCCCCC"/>
              <w:left w:val="single" w:sz="4" w:color="CCCCCC"/>
              <w:right w:val="single" w:sz="4" w:color="CCCCCC"/>
            </w:tcBorders>
            <w:shd w:val="clear" w:color="auto" w:fill="F5F5F5"/>
            <w:tcW w:w="8640" w:type="dxa"/>
          </w:tcPr>
          <w:p>
            <w:pPr>
              <w:spacing w:after="0"/>
            </w:pPr>
            <w:r>
              <w:rPr>
                <w:rFonts w:ascii="Arial" w:hAnsi="Arial"/>
                <w:b/>
                <w:i w:val="0"/>
                <w:color w:val="1C1C1A"/>
                <w:sz w:val="19"/>
              </w:rPr>
              <w:t>What it does</w:t>
            </w:r>
            <w:r>
              <w:rPr>
                <w:rFonts w:ascii="Arial" w:hAnsi="Arial"/>
                <w:b w:val="0"/>
                <w:i w:val="0"/>
                <w:color w:val="1C1C1A"/>
                <w:sz w:val="19"/>
              </w:rPr>
              <w:t xml:space="preserve"> All six levers above operate within the current policy environment — which is itself a major cause of unemployment. HAC-ES's annual Middle-Out Policy Scorecard and advocacy function give the Cooperative a platform to push for structural changes that would reduce unemployment across the entire region, not just for members. Policy wins multiply the impact of everything HAC-ES is doing directly. </w:t>
            </w:r>
            <w:r>
              <w:rPr>
                <w:rFonts w:ascii="Arial" w:hAnsi="Arial"/>
                <w:b/>
                <w:i w:val="0"/>
                <w:color w:val="1C1C1A"/>
                <w:sz w:val="19"/>
              </w:rPr>
              <w:t>How HAC-ES implements it</w:t>
            </w:r>
            <w:r>
              <w:rPr>
                <w:rFonts w:ascii="Arial" w:hAnsi="Arial"/>
                <w:b w:val="0"/>
                <w:i w:val="0"/>
                <w:color w:val="1C1C1A"/>
                <w:sz w:val="19"/>
              </w:rPr>
              <w:t xml:space="preserve"> HAC-ES advocates publicly and through formal channels for: living wage ordinance for Eugene and Springfield (lifting the wage floor creates consumer demand that generates jobs); robust antitrust enforcement in key Lane County industries where employer concentration suppresses wages and employment options; worker empowerment policies including collective bargaining rights, elimination of non-compete clauses for low-wage workers, and support for the right to organize; public investment in childcare, housing, and broadband that removes structural barriers to work; community benefit agreements with UO and PeaceHealth requiring local hiring preferences for HAC-ES members; and Oregon clean energy workforce standards requiring IRA-funded projects to hire from community benefit agreements that include HAC-ES member preferences. The HAIS Middle-Out Policy Scorecard measures Lane County's annual progress against each benchmark and publishes results publicly. </w:t>
            </w:r>
            <w:r>
              <w:rPr>
                <w:rFonts w:ascii="Arial" w:hAnsi="Arial"/>
                <w:b/>
                <w:i w:val="0"/>
                <w:color w:val="1C1C1A"/>
                <w:sz w:val="19"/>
              </w:rPr>
              <w:t xml:space="preserve">Primary success metric:  </w:t>
            </w:r>
            <w:r>
              <w:rPr>
                <w:rFonts w:ascii="Arial" w:hAnsi="Arial"/>
                <w:b w:val="0"/>
                <w:i/>
                <w:color w:val="1C1C1A"/>
                <w:sz w:val="19"/>
              </w:rPr>
              <w:t>Lane County Middle-Out Policy Scorecard — annual composite score measuring policy environment quality for employment across all advocacy dimensions</w:t>
            </w:r>
            <w:r>
              <w:rPr>
                <w:rFonts w:ascii="Arial" w:hAnsi="Arial"/>
                <w:b w:val="0"/>
                <w:i w:val="0"/>
                <w:color w:val="1C1C1A"/>
                <w:sz w:val="19"/>
              </w:rPr>
              <w:t xml:space="preserve"> </w:t>
            </w:r>
            <w:r>
              <w:rPr>
                <w:rFonts w:ascii="Arial" w:hAnsi="Arial"/>
                <w:b/>
                <w:i w:val="0"/>
                <w:color w:val="1C1C1A"/>
                <w:sz w:val="19"/>
              </w:rPr>
              <w:t xml:space="preserve">Timeline to first impact:  </w:t>
            </w:r>
            <w:r>
              <w:rPr>
                <w:rFonts w:ascii="Arial" w:hAnsi="Arial"/>
                <w:b w:val="0"/>
                <w:i w:val="0"/>
                <w:color w:val="1C1C1A"/>
                <w:sz w:val="19"/>
              </w:rPr>
              <w:t>Ongoing — first Scorecard published at 12-month mark</w:t>
            </w:r>
          </w:p>
        </w:tc>
      </w:tr>
    </w:tbl>
    <w:p>
      <w:pPr>
        <w:spacing w:after="80"/>
      </w:pPr>
    </w:p>
    <w:p>
      <w:pPr>
        <w:pStyle w:val="Heading1"/>
        <w:pBdr>
          <w:bottom w:val="single" w:sz="8" w:space="2" w:color="2E75B6"/>
        </w:pBdr>
      </w:pPr>
      <w:r>
        <w:t>PART II</w:t>
      </w:r>
    </w:p>
    <w:p>
      <w:pPr>
        <w:pStyle w:val="Heading2"/>
      </w:pPr>
      <w:r>
        <w:t>LANE COUNTY LABOR MARKET CONTEXT</w:t>
      </w:r>
    </w:p>
    <w:p>
      <w:pPr>
        <w:pStyle w:val="Heading2"/>
      </w:pPr>
      <w:r>
        <w:t>THE LANE COUNTY EMPLOYMENT LANDSCAPE</w:t>
      </w:r>
    </w:p>
    <w:p>
      <w:pPr>
        <w:pStyle w:val="Heading3"/>
      </w:pPr>
      <w:r>
        <w:t>Current Conditions (2025)</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Indicator</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Value / Status</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Context</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Unemployment rate</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4.8–5.0%</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Up from 3.6% low in May 2023 and 4.2% in July 2024. Above national average.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Job market characterization</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'Frozen state'</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OED description: 'few vacancies for a growing number of unemployed'</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Average annual wage</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$52,596</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First time exceeding $52K since 1979 — but 57% of jobs pay below this figure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Entry-level experience</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20+ applications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UO 2025 graduate: 20 applications before first callback; let go within months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Sectors growing</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Private education &amp; health, leisure &amp; hospitality</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900 and 500 jobs gained September 2024–2025 respectively</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Sectors declining</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Most industries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6 of Oregon's 7 largest counties lost employment March 2024–2025</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Long-term unemployment</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Elevated</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More long-term unemployed than in 2021–2022</w:t>
            </w:r>
          </w:p>
        </w:tc>
      </w:tr>
    </w:tbl>
    <w:p>
      <w:pPr>
        <w:spacing w:after="80"/>
      </w:pPr>
    </w:p>
    <w:p>
      <w:pPr>
        <w:pStyle w:val="Heading3"/>
      </w:pPr>
      <w:r>
        <w:t>Highest-Demand Occupations 2024–2034 (Lane County)</w:t>
      </w:r>
    </w:p>
    <w:p>
      <w:pPr>
        <w:spacing w:after="140"/>
      </w:pPr>
      <w:r>
        <w:rPr>
          <w:rFonts w:ascii="Arial" w:hAnsi="Arial"/>
          <w:b w:val="0"/>
          <w:i w:val="0"/>
          <w:sz w:val="21"/>
        </w:rPr>
        <w:t>Per Oregon Employment Department Lane Occupational Employment Projections 2024–2034, the following sectors have the highest projected growth and represent the primary targets for HAC-ES skills training investments:</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Sector</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Growth Projection</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HAC-ES Strategy</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Healthcare support</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High</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CNA, medical assistant, home health aide — accessible via LCC certificate programs</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Clean energy / construction trades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Very high</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Weatherization, heat pump installation, solar, EV — IRA-funded expansion</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Education and childcare</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High</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Early childhood education, school support — chronic undersupply in Lane County</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Technology services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High</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IT support, cybersecurity, data analysis — remote-work accessible for members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Food and hospitality</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Moderate</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High volume, but quality and wages vary widely — cooperative models needed</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Transportation and logistics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Moderate</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Growing demand; worker ownership opportunities in delivery and transit</w:t>
            </w:r>
          </w:p>
        </w:tc>
      </w:tr>
    </w:tbl>
    <w:p>
      <w:pPr>
        <w:spacing w:after="80"/>
      </w:pPr>
    </w:p>
    <w:p>
      <w:pPr>
        <w:pStyle w:val="Heading1"/>
        <w:pBdr>
          <w:bottom w:val="single" w:sz="8" w:space="2" w:color="2E75B6"/>
        </w:pBdr>
      </w:pPr>
      <w:r>
        <w:t>PART III</w:t>
      </w:r>
    </w:p>
    <w:p>
      <w:pPr>
        <w:pStyle w:val="Heading2"/>
      </w:pPr>
      <w:r>
        <w:t>IMPLEMENTATION PLAN</w:t>
      </w:r>
    </w:p>
    <w:p>
      <w:pPr>
        <w:pStyle w:val="Heading2"/>
      </w:pPr>
      <w:r>
        <w:t>YEAR 1 IMPLEMENTATION PRIORITIES</w:t>
      </w:r>
    </w:p>
    <w:p>
      <w:pPr>
        <w:pStyle w:val="Heading3"/>
      </w:pPr>
      <w:r>
        <w:t>Months 1–6: Foundation</w:t>
      </w:r>
    </w:p>
    <w:p>
      <w:pPr>
        <w:pStyle w:val="ListBullet"/>
        <w:spacing w:after="80"/>
      </w:pPr>
      <w:r>
        <w:rPr>
          <w:rFonts w:ascii="Arial" w:hAnsi="Arial"/>
          <w:b w:val="0"/>
          <w:i w:val="0"/>
          <w:sz w:val="21"/>
        </w:rPr>
        <w:t>Establish HAC-ES Organizational Member employment partnerships: Lane Workforce Partnership (WIOA funding access), Lane Community College (training pathways), Oregon Employee Ownership Center (cooperative conversion pipeline)</w:t>
      </w:r>
    </w:p>
    <w:p>
      <w:pPr>
        <w:pStyle w:val="ListBullet"/>
        <w:spacing w:after="80"/>
      </w:pPr>
      <w:r>
        <w:rPr>
          <w:rFonts w:ascii="Arial" w:hAnsi="Arial"/>
          <w:b w:val="0"/>
          <w:i w:val="0"/>
          <w:sz w:val="21"/>
        </w:rPr>
        <w:t>Launch HAIS Employment Module Phase 1: member employment profiles, basic job matching against Organizational Member openings, skills gap identification</w:t>
      </w:r>
    </w:p>
    <w:p>
      <w:pPr>
        <w:pStyle w:val="ListBullet"/>
        <w:spacing w:after="80"/>
      </w:pPr>
      <w:r>
        <w:rPr>
          <w:rFonts w:ascii="Arial" w:hAnsi="Arial"/>
          <w:b w:val="0"/>
          <w:i w:val="0"/>
          <w:sz w:val="21"/>
        </w:rPr>
        <w:t>Begin first cooperative conversion identification: HAIS scans public business data and member networks to identify 3–5 Lane County businesses with near-term succession needs</w:t>
      </w:r>
    </w:p>
    <w:p>
      <w:pPr>
        <w:pStyle w:val="ListBullet"/>
        <w:spacing w:after="80"/>
      </w:pPr>
      <w:r>
        <w:rPr>
          <w:rFonts w:ascii="Arial" w:hAnsi="Arial"/>
          <w:b w:val="0"/>
          <w:i w:val="0"/>
          <w:sz w:val="21"/>
        </w:rPr>
        <w:t>Establish Green Jobs Pipeline partnerships: EWEB, Oregon Building Trades, LCC clean energy programs</w:t>
      </w:r>
    </w:p>
    <w:p>
      <w:pPr>
        <w:pStyle w:val="ListBullet"/>
        <w:spacing w:after="80"/>
      </w:pPr>
      <w:r>
        <w:rPr>
          <w:rFonts w:ascii="Arial" w:hAnsi="Arial"/>
          <w:b w:val="0"/>
          <w:i w:val="0"/>
          <w:sz w:val="21"/>
        </w:rPr>
        <w:t>Launch service contribution credit program for members who contribute community service hours</w:t>
      </w:r>
    </w:p>
    <w:p>
      <w:pPr>
        <w:pStyle w:val="Heading3"/>
      </w:pPr>
      <w:r>
        <w:t>Months 6–18: Activation</w:t>
      </w:r>
    </w:p>
    <w:p>
      <w:pPr>
        <w:pStyle w:val="ListBullet"/>
        <w:spacing w:after="80"/>
      </w:pPr>
      <w:r>
        <w:rPr>
          <w:rFonts w:ascii="Arial" w:hAnsi="Arial"/>
          <w:b w:val="0"/>
          <w:i w:val="0"/>
          <w:sz w:val="21"/>
        </w:rPr>
        <w:t>Activate HAIS Tier 1 autonomous employment matching — members receive weekly opportunity alerts</w:t>
      </w:r>
    </w:p>
    <w:p>
      <w:pPr>
        <w:pStyle w:val="ListBullet"/>
        <w:spacing w:after="80"/>
      </w:pPr>
      <w:r>
        <w:rPr>
          <w:rFonts w:ascii="Arial" w:hAnsi="Arial"/>
          <w:b w:val="0"/>
          <w:i w:val="0"/>
          <w:sz w:val="21"/>
        </w:rPr>
        <w:t>Launch first HAC-ES Human Asset Development training cohort: 20–30 members in highest-demand certificate programs with full stipend support</w:t>
      </w:r>
    </w:p>
    <w:p>
      <w:pPr>
        <w:pStyle w:val="ListBullet"/>
        <w:spacing w:after="80"/>
      </w:pPr>
      <w:r>
        <w:rPr>
          <w:rFonts w:ascii="Arial" w:hAnsi="Arial"/>
          <w:b w:val="0"/>
          <w:i w:val="0"/>
          <w:sz w:val="21"/>
        </w:rPr>
        <w:t>Complete first 1–2 cooperative business conversions through the employee ownership pipeline</w:t>
      </w:r>
    </w:p>
    <w:p>
      <w:pPr>
        <w:pStyle w:val="ListBullet"/>
        <w:spacing w:after="80"/>
      </w:pPr>
      <w:r>
        <w:rPr>
          <w:rFonts w:ascii="Arial" w:hAnsi="Arial"/>
          <w:b w:val="0"/>
          <w:i w:val="0"/>
          <w:sz w:val="21"/>
        </w:rPr>
        <w:t>Launch first worker-owned social enterprise contracted by HAC-ES (food delivery, transportation, or home weatherization — based on member skills and market analysis)</w:t>
      </w:r>
    </w:p>
    <w:p>
      <w:pPr>
        <w:pStyle w:val="ListBullet"/>
        <w:spacing w:after="80"/>
      </w:pPr>
      <w:r>
        <w:rPr>
          <w:rFonts w:ascii="Arial" w:hAnsi="Arial"/>
          <w:b w:val="0"/>
          <w:i w:val="0"/>
          <w:sz w:val="21"/>
        </w:rPr>
        <w:t>Publish first Middle-Out Policy Scorecard with employment metrics</w:t>
      </w:r>
    </w:p>
    <w:p>
      <w:pPr>
        <w:pStyle w:val="ListBullet"/>
        <w:spacing w:after="80"/>
      </w:pPr>
      <w:r>
        <w:rPr>
          <w:rFonts w:ascii="Arial" w:hAnsi="Arial"/>
          <w:b w:val="0"/>
          <w:i w:val="0"/>
          <w:sz w:val="21"/>
        </w:rPr>
        <w:t>File for Lane County CED Grant and Oregon Workforce Investment Board funding for training programs</w:t>
      </w:r>
    </w:p>
    <w:p>
      <w:pPr>
        <w:pStyle w:val="Heading3"/>
      </w:pPr>
      <w:r>
        <w:t>Year 2+: Scale</w:t>
      </w:r>
    </w:p>
    <w:p>
      <w:pPr>
        <w:pStyle w:val="ListBullet"/>
        <w:spacing w:after="80"/>
      </w:pPr>
      <w:r>
        <w:rPr>
          <w:rFonts w:ascii="Arial" w:hAnsi="Arial"/>
          <w:b w:val="0"/>
          <w:i w:val="0"/>
          <w:sz w:val="21"/>
        </w:rPr>
        <w:t>Cooperative business incubator operational — first cohort of 3–5 new worker cooperatives launched</w:t>
      </w:r>
    </w:p>
    <w:p>
      <w:pPr>
        <w:pStyle w:val="ListBullet"/>
        <w:spacing w:after="80"/>
      </w:pPr>
      <w:r>
        <w:rPr>
          <w:rFonts w:ascii="Arial" w:hAnsi="Arial"/>
          <w:b w:val="0"/>
          <w:i w:val="0"/>
          <w:sz w:val="21"/>
        </w:rPr>
        <w:t>Green energy worker cooperative established and contracted by EWEB — serves as flagship job guarantee pilot placement, converting subsidized member placements to permanent worker-owned positions</w:t>
      </w:r>
    </w:p>
    <w:p>
      <w:pPr>
        <w:pStyle w:val="ListBullet"/>
        <w:spacing w:after="80"/>
      </w:pPr>
      <w:r>
        <w:rPr>
          <w:rFonts w:ascii="Arial" w:hAnsi="Arial"/>
          <w:b w:val="0"/>
          <w:i w:val="0"/>
          <w:sz w:val="21"/>
        </w:rPr>
        <w:t>Lane Community College preferred partnership formalized — HAC-ES member tuition subsidy program</w:t>
      </w:r>
    </w:p>
    <w:p>
      <w:pPr>
        <w:pStyle w:val="ListBullet"/>
        <w:spacing w:after="80"/>
      </w:pPr>
      <w:r>
        <w:rPr>
          <w:rFonts w:ascii="Arial" w:hAnsi="Arial"/>
          <w:b w:val="0"/>
          <w:i w:val="0"/>
          <w:sz w:val="21"/>
        </w:rPr>
        <w:t>Time banking / care economy credit system operational</w:t>
      </w:r>
    </w:p>
    <w:p>
      <w:pPr>
        <w:pStyle w:val="ListBullet"/>
        <w:spacing w:after="80"/>
      </w:pPr>
      <w:r>
        <w:rPr>
          <w:rFonts w:ascii="Arial" w:hAnsi="Arial"/>
          <w:b w:val="0"/>
          <w:i w:val="0"/>
          <w:sz w:val="21"/>
        </w:rPr>
        <w:t>First community benefit agreements negotiated with UO and PeaceHealth including HAC-ES member hiring preferences</w:t>
      </w:r>
    </w:p>
    <w:p>
      <w:pPr>
        <w:pStyle w:val="Heading3"/>
      </w:pPr>
      <w:r>
        <w:t>Budget Requirements</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Budget item</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Estimated cost</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Notes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HAIS Employment Module development</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$15,000–$30,000</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Phase 2 HAIS development — integrated into overall HAIS budget</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Training stipends (Year 1 cohort, 30 members)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$45,000–$90,000</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$1,500–$3,000/member for 3–6 month programs; Human Asset Fund Priority 3</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Cooperative conversion technical assistance</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$20,000–$40,000</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Oregon Employee Ownership Center partnership; grant-fundable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Social enterprise seed capital</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$50,000–$150,000</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Human Asset Fund Priority 4; co-funded with CDFI partner</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Green Jobs Pipeline training</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$30,000–$60,000</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IRA workforce provisions + Oregon CAP funds cover majority</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Lane Community College partnership</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$10,000–$25,000</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Partnership development; LCC may co-fund through workforce contracts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Year 1 total employment strategy budget</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$170,000–$395,000</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Majority grant-fundable through LWP/WIOA, IRA, OCF, MacArthur, Ford</w:t>
            </w:r>
          </w:p>
        </w:tc>
      </w:tr>
    </w:tbl>
    <w:p>
      <w:pPr>
        <w:spacing w:after="80"/>
      </w:pPr>
    </w:p>
    <w:p>
      <w:pPr>
        <w:pStyle w:val="Heading1"/>
        <w:pBdr>
          <w:bottom w:val="single" w:sz="8" w:space="2" w:color="2E75B6"/>
        </w:pBdr>
      </w:pPr>
      <w:r>
        <w:t>PART IV</w:t>
      </w:r>
    </w:p>
    <w:p>
      <w:pPr>
        <w:pStyle w:val="Heading2"/>
      </w:pPr>
      <w:r>
        <w:t>FUNDING STRATEGY</w:t>
      </w:r>
    </w:p>
    <w:p>
      <w:pPr>
        <w:pStyle w:val="Heading2"/>
      </w:pPr>
      <w:r>
        <w:t>EMPLOYMENT STRATEGY FUNDING SOURCES</w:t>
      </w:r>
    </w:p>
    <w:tbl>
      <w:tblPr>
        <w:tblStyle w:val="TableGrid"/>
        <w:tblW w:type="auto" w:w="0"/>
        <w:jc w:val="left"/>
        <w:tblLook w:firstColumn="1" w:firstRow="1" w:lastColumn="0" w:lastRow="0" w:noHBand="0" w:noVBand="1" w:val="04A0"/>
        <w:tblW w:w="8640" w:type="dxa"/>
      </w:tblPr>
      <w:tblGrid>
        <w:gridCol w:w="3000"/>
        <w:gridCol w:w="3000"/>
        <w:gridCol w:w="3000"/>
      </w:tblGrid>
      <w:tr>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Funder</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Range</w:t>
            </w:r>
          </w:p>
        </w:tc>
        <w:tc>
          <w:tcPr>
            <w:tcW w:type="dxa" w:w="3000"/>
            <w:tcBorders>
              <w:top w:val="single" w:sz="4" w:color="CCCCCC"/>
              <w:bottom w:val="single" w:sz="4" w:color="CCCCCC"/>
              <w:left w:val="single" w:sz="4" w:color="CCCCCC"/>
              <w:right w:val="single" w:sz="4" w:color="CCCCCC"/>
            </w:tcBorders>
            <w:shd w:val="clear" w:color="auto" w:fill="1F4E79"/>
            <w:tcW w:w="2880" w:type="dxa"/>
          </w:tcPr>
          <w:p>
            <w:pPr>
              <w:spacing w:after="0"/>
            </w:pPr>
            <w:r>
              <w:rPr>
                <w:rFonts w:ascii="Arial" w:hAnsi="Arial"/>
                <w:b/>
                <w:i w:val="0"/>
                <w:color w:val="FFFFFF"/>
                <w:sz w:val="19"/>
              </w:rPr>
              <w:t>HAC-ES Alignment</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WIOA Title I (via Lane Workforce Partnership)</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$100K–$500K/year</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Federal workforce development funds routed to HAC-ES members through LWP Organizational Membership partnership</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IRA Workforce Provisions (clean energy)</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$50K–$300K</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Inflation Reduction Act workforce provisions specifically for clean energy trades training in disadvantaged communities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Oregon Workforce Investment Board</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$50K–$200K</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State workforce development grants; HAC-ES employment data is compelling evidence base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MacArthur Foundation — Just Economies</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$200K–$2M</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Worker ownership, economic democracy — cooperative conversion pipeline is direct fit</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Ford Foundation — Future of Work</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$200K–$1.5M</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Worker ownership, cooperative development — HAC-ES employment strategy is central use case</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Oregon Community Foundation</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$50K–$300K</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Lane County workforce development — local funder with OCCU and LWP relationships</w:t>
            </w:r>
          </w:p>
        </w:tc>
      </w:tr>
      <w:tr>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i w:val="0"/>
                <w:color w:val="1C1C1A"/>
                <w:sz w:val="19"/>
              </w:rPr>
              <w:t>NSF Civic Innovation Challenge</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Up to $1M</w:t>
            </w:r>
          </w:p>
        </w:tc>
        <w:tc>
          <w:tcPr>
            <w:tcW w:type="dxa" w:w="3000"/>
            <w:tcBorders>
              <w:top w:val="single" w:sz="4" w:color="CCCCCC"/>
              <w:bottom w:val="single" w:sz="4" w:color="CCCCCC"/>
              <w:left w:val="single" w:sz="4" w:color="CCCCCC"/>
              <w:right w:val="single" w:sz="4" w:color="CCCCCC"/>
            </w:tcBorders>
            <w:shd w:val="clear" w:color="auto" w:fill="F5F5F5"/>
            <w:tcW w:w="2880" w:type="dxa"/>
          </w:tcPr>
          <w:p>
            <w:pPr>
              <w:spacing w:after="0"/>
            </w:pPr>
            <w:r>
              <w:rPr>
                <w:rFonts w:ascii="Arial" w:hAnsi="Arial"/>
                <w:b w:val="0"/>
                <w:i w:val="0"/>
                <w:color w:val="1C1C1A"/>
                <w:sz w:val="19"/>
              </w:rPr>
              <w:t>UO partnership + HAIS Employment Module = compelling Stage 1 application</w:t>
            </w:r>
          </w:p>
        </w:tc>
      </w:tr>
      <w:tr>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i w:val="0"/>
                <w:color w:val="1C1C1A"/>
                <w:sz w:val="19"/>
              </w:rPr>
              <w:t>HUD Economic Development Initiative</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$100K–$500K</w:t>
            </w:r>
          </w:p>
        </w:tc>
        <w:tc>
          <w:tcPr>
            <w:tcW w:type="dxa" w:w="3000"/>
            <w:tcBorders>
              <w:top w:val="single" w:sz="4" w:color="CCCCCC"/>
              <w:bottom w:val="single" w:sz="4" w:color="CCCCCC"/>
              <w:left w:val="single" w:sz="4" w:color="CCCCCC"/>
              <w:right w:val="single" w:sz="4" w:color="CCCCCC"/>
            </w:tcBorders>
            <w:shd w:val="clear" w:color="auto" w:fill="FFFFFF"/>
            <w:tcW w:w="2880" w:type="dxa"/>
          </w:tcPr>
          <w:p>
            <w:pPr>
              <w:spacing w:after="0"/>
            </w:pPr>
            <w:r>
              <w:rPr>
                <w:rFonts w:ascii="Arial" w:hAnsi="Arial"/>
                <w:b w:val="0"/>
                <w:i w:val="0"/>
                <w:color w:val="1C1C1A"/>
                <w:sz w:val="19"/>
              </w:rPr>
              <w:t>HAC-ES cooperative incubator qualifies as community economic development activity</w:t>
            </w:r>
          </w:p>
        </w:tc>
      </w:tr>
    </w:tbl>
    <w:p>
      <w:pPr>
        <w:spacing w:after="80"/>
      </w:pPr>
    </w:p>
    <w:p>
      <w:pPr>
        <w:pStyle w:val="Heading1"/>
        <w:spacing w:before="360" w:after="120"/>
      </w:pPr>
      <w:r>
        <w:rPr>
          <w:rFonts w:ascii="Arial" w:hAnsi="Arial"/>
        </w:rPr>
        <w:t>PART V</w:t>
      </w:r>
    </w:p>
    <w:p>
      <w:pPr>
        <w:pStyle w:val="Heading2"/>
        <w:spacing w:after="120"/>
      </w:pPr>
      <w:r>
        <w:rPr>
          <w:rFonts w:ascii="Arial" w:hAnsi="Arial"/>
        </w:rPr>
        <w:t>HAC-ES AS A LOCAL JOB GUARANTEE PILOT</w:t>
      </w:r>
    </w:p>
    <w:p>
      <w:pPr>
        <w:pStyle w:val="Heading2"/>
        <w:spacing w:after="100"/>
      </w:pPr>
      <w:r>
        <w:rPr>
          <w:rFonts w:ascii="Arial" w:hAnsi="Arial"/>
        </w:rPr>
        <w:t>STRATEGIC POSITIONING</w:t>
      </w:r>
    </w:p>
    <w:p>
      <w:pPr>
        <w:spacing w:after="140"/>
      </w:pPr>
      <w:r>
        <w:rPr>
          <w:rFonts w:ascii="Arial" w:hAnsi="Arial"/>
          <w:b w:val="0"/>
          <w:i w:val="0"/>
          <w:sz w:val="21"/>
        </w:rPr>
        <w:t xml:space="preserve">Markets Built for Humans (Beinhocker &amp; Hanauer, 2026) explicitly recommends that job guarantees be launched as locally-led pilots rather than top-down federal programs. The book cites Austria’s Marienthal experiment as the model: voluntary participation, preparatory training before placement, a mix of subsidized private placements and public-good work, and a path to self-employment or cooperative ownership. Marienthal achieved 60–80% public support — including in politically conservative areas — because it was rooted in community, not imposed from above. HAC-ES meets every design criterion.</w:t>
      </w:r>
    </w:p>
    <w:p>
      <w:pPr>
        <w:pStyle w:val="Heading3"/>
        <w:spacing w:after="80"/>
      </w:pPr>
      <w:r>
        <w:rPr>
          <w:rFonts w:ascii="Arial" w:hAnsi="Arial"/>
        </w:rPr>
        <w:t>Design Feature Alignment</w:t>
      </w:r>
    </w:p>
    <w:p>
      <w:pPr>
        <w:spacing w:after="100"/>
      </w:pPr>
      <w:r>
        <w:rPr>
          <w:rFonts w:ascii="Arial" w:hAnsi="Arial"/>
          <w:b/>
          <w:sz w:val="21"/>
        </w:rPr>
        <w:t xml:space="preserve">Preparatory training before placement: </w:t>
      </w:r>
      <w:r>
        <w:rPr>
          <w:rFonts w:ascii="Arial" w:hAnsi="Arial"/>
          <w:b w:val="0"/>
          <w:sz w:val="21"/>
        </w:rPr>
        <w:t>Lever 3 (Human Asset Development) delivers skills training with full stipend support before any placement is made. Members do not enter the job guarantee pipeline without first completing the relevant certificate program or skills assessment.</w:t>
      </w:r>
    </w:p>
    <w:p>
      <w:pPr>
        <w:spacing w:after="100"/>
      </w:pPr>
      <w:r>
        <w:rPr>
          <w:rFonts w:ascii="Arial" w:hAnsi="Arial"/>
          <w:b/>
          <w:sz w:val="21"/>
        </w:rPr>
        <w:t xml:space="preserve">Subsidized private-sector placements: </w:t>
      </w:r>
      <w:r>
        <w:rPr>
          <w:rFonts w:ascii="Arial" w:hAnsi="Arial"/>
          <w:b w:val="0"/>
          <w:sz w:val="21"/>
        </w:rPr>
        <w:t>Lever 1 (Job Matching) places members with Organizational Member employers at living wages. Lever 2 (Cooperative Incubation) converts subsidized placements to permanent worker-owned positions — exactly the conversion pathway that Marienthal showed is achievable when placements are designed with ownership as the endpoint, not just employment.</w:t>
      </w:r>
    </w:p>
    <w:p>
      <w:pPr>
        <w:spacing w:after="100"/>
      </w:pPr>
      <w:r>
        <w:rPr>
          <w:rFonts w:ascii="Arial" w:hAnsi="Arial"/>
          <w:b/>
          <w:sz w:val="21"/>
        </w:rPr>
        <w:t xml:space="preserve">Public-good work: </w:t>
      </w:r>
      <w:r>
        <w:rPr>
          <w:rFonts w:ascii="Arial" w:hAnsi="Arial"/>
          <w:b w:val="0"/>
          <w:sz w:val="21"/>
        </w:rPr>
        <w:t>The service contribution credit program (Lever 6) pays members in time-banking credits for community work — caregiving, urban forestry, food network coordination, mutual aid. This is the public-good track of the job guarantee, running in parallel with private-sector placements. Combined, the two tracks ensure every member who wants work has a pathway.</w:t>
      </w:r>
    </w:p>
    <w:p>
      <w:pPr>
        <w:spacing w:after="100"/>
      </w:pPr>
      <w:r>
        <w:rPr>
          <w:rFonts w:ascii="Arial" w:hAnsi="Arial"/>
          <w:b/>
          <w:sz w:val="21"/>
        </w:rPr>
        <w:t xml:space="preserve">Strictly voluntary: </w:t>
      </w:r>
      <w:r>
        <w:rPr>
          <w:rFonts w:ascii="Arial" w:hAnsi="Arial"/>
          <w:b w:val="0"/>
          <w:sz w:val="21"/>
        </w:rPr>
        <w:t>HAC membership and all employment pathways are opt-in. No member faces a penalty for declining a placement. This is a structural feature, not a policy choice — it is what distinguishes job guarantees from workfare and is a condition of the 60–80% support the model achieves.</w:t>
      </w:r>
    </w:p>
    <w:p>
      <w:pPr>
        <w:pStyle w:val="Heading3"/>
        <w:spacing w:after="80"/>
      </w:pPr>
      <w:r>
        <w:rPr>
          <w:rFonts w:ascii="Arial" w:hAnsi="Arial"/>
        </w:rPr>
        <w:t>Why This Framing Matters</w:t>
      </w:r>
    </w:p>
    <w:p>
      <w:pPr>
        <w:spacing w:after="140"/>
      </w:pPr>
      <w:r>
        <w:rPr>
          <w:rFonts w:ascii="Arial" w:hAnsi="Arial"/>
          <w:b w:val="0"/>
          <w:i w:val="0"/>
          <w:sz w:val="21"/>
        </w:rPr>
        <w:t xml:space="preserve">Explicitly framing HAC as a locally-led job guarantee pilot — rather than a cooperative incubator that happens to create jobs — has three practical consequences. First, it opens dedicated federal and foundation funding streams for job guarantee pilots that HAC currently cannot access because its model is not named in those terms. The Economic Security Project, the Levy Economics Institute, and the Niskanen Center all fund job guarantee research and pilots; the Marienthal framing is the entry credential. Second, it provides a replication template: Lane County becomes the Oregon evidence base that other communities adapt, exactly as Seattle became the minimum wage evidence base. Third, it shifts the political conversation with Lane County commissioners and the Oregon Legislature from “HAC is a co-op program” — a niche framing — to “HAC is piloting the local job guarantee model the research community recommends” — a policy framing with national credibility and bipartisan support.</w:t>
      </w:r>
    </w:p>
    <w:p>
      <w:pPr>
        <w:spacing w:after="120"/>
      </w:pPr>
      <w:r>
        <w:rPr>
          <w:rFonts w:ascii="Arial" w:hAnsi="Arial"/>
          <w:i/>
          <w:color w:val="595959"/>
          <w:sz w:val="20"/>
        </w:rPr>
        <w:t>Human Asset Cooperative of Eugene-Springfield  ·  Employment Strategy  · Consolidated Edition · July 2026</w:t>
      </w:r>
    </w:p>
    <w:p>
      <w:pPr>
        <w:jc w:val="center"/>
      </w:pPr>
      <w:r>
        <w:rPr>
          <w:rFonts w:ascii="Arial" w:hAnsi="Arial"/>
          <w:b/>
          <w:color w:val="1F4E5F"/>
          <w:sz w:val="32"/>
        </w:rPr>
        <w:t>PROVEN MECHANISMS INTEGRATION</w:t>
      </w:r>
    </w:p>
    <w:p>
      <w:pPr>
        <w:jc w:val="center"/>
      </w:pPr>
      <w:r>
        <w:rPr>
          <w:rFonts w:ascii="Arial" w:hAnsi="Arial"/>
          <w:i/>
          <w:sz w:val="20"/>
        </w:rPr>
        <w:t>Integrated pursuant to the July 2026 companion documents: Area-Wide Cooperative Models and Proven Mechanisms, Adapted.</w:t>
      </w:r>
    </w:p>
    <w:p>
      <w:pPr>
        <w:spacing w:before="320" w:after="200"/>
      </w:pPr>
      <w:r>
        <w:rPr>
          <w:rFonts w:ascii="Arial" w:hAnsi="Arial"/>
          <w:b/>
          <w:color w:val="1F4E5F"/>
          <w:sz w:val="30"/>
        </w:rPr>
        <w:t>LEVER 8 — MEMBER SECURITY PROGRAM (NEW)</w:t>
      </w:r>
    </w:p>
    <w:p>
      <w:pPr>
        <w:spacing w:after="160"/>
      </w:pPr>
      <w:r>
        <w:rPr>
          <w:rFonts w:ascii="Arial" w:hAnsi="Arial"/>
          <w:b/>
          <w:sz w:val="22"/>
        </w:rPr>
        <w:t xml:space="preserve">What it does. </w:t>
      </w:r>
      <w:r>
        <w:rPr>
          <w:rFonts w:ascii="Arial" w:hAnsi="Arial"/>
          <w:sz w:val="22"/>
        </w:rPr>
        <w:t>Job loss in a conventional economy is an individual catastrophe. In Mondragon it is a logistics problem: displaced members are relocated across the federation, retrained where needed, and supported at roughly 80% of income for up to two years by the Lagun Aro mutual system. Lever 8 builds that collective employment security into HAC-ES.</w:t>
      </w:r>
    </w:p>
    <w:p>
      <w:pPr>
        <w:spacing w:after="160"/>
      </w:pPr>
      <w:r>
        <w:rPr>
          <w:rFonts w:ascii="Arial" w:hAnsi="Arial"/>
          <w:b/>
          <w:sz w:val="22"/>
        </w:rPr>
        <w:t xml:space="preserve">How HAC-ES implements it. </w:t>
      </w:r>
      <w:r>
        <w:rPr>
          <w:rFonts w:ascii="Arial" w:hAnsi="Arial"/>
          <w:sz w:val="22"/>
        </w:rPr>
        <w:t>When an Organizational Member closes or downsizes, the HAIS Employment Module gives its displaced workers priority matching against openings across all Organizational Members before external listings. Where no match exists, the member enters a retraining pathway (Lever 3) with an income bridge targeting 80% of prior income for up to 24 months, funded by the Solidarity Fund (Bylaws Section 3.9). The basic needs floor (Lever 4) continues throughout regardless. The HAIS administers eligibility, payments, and placement tracking, and publishes program metrics.</w:t>
      </w:r>
    </w:p>
    <w:p>
      <w:pPr>
        <w:spacing w:after="160"/>
      </w:pPr>
      <w:r>
        <w:rPr>
          <w:rFonts w:ascii="Arial" w:hAnsi="Arial"/>
          <w:b/>
          <w:sz w:val="22"/>
        </w:rPr>
        <w:t xml:space="preserve">Primary success metric: </w:t>
      </w:r>
      <w:r>
        <w:rPr>
          <w:rFonts w:ascii="Arial" w:hAnsi="Arial"/>
          <w:sz w:val="22"/>
        </w:rPr>
        <w:t>Percentage of displaced Organizational Member workers re-placed within the network within 12 months; income replacement ratio during transition.</w:t>
      </w:r>
    </w:p>
    <w:p>
      <w:pPr>
        <w:spacing w:after="160"/>
      </w:pPr>
      <w:r>
        <w:rPr>
          <w:rFonts w:ascii="Arial" w:hAnsi="Arial"/>
          <w:b/>
          <w:sz w:val="22"/>
        </w:rPr>
        <w:t xml:space="preserve">Timeline to first impact: </w:t>
      </w:r>
      <w:r>
        <w:rPr>
          <w:rFonts w:ascii="Arial" w:hAnsi="Arial"/>
          <w:sz w:val="22"/>
        </w:rPr>
        <w:t>Phase 3 — requires Solidarity Fund capitalization and Employment Module Phase 2 functions.</w:t>
      </w:r>
    </w:p>
    <w:p>
      <w:pPr>
        <w:spacing w:before="320" w:after="200"/>
      </w:pPr>
      <w:r>
        <w:rPr>
          <w:rFonts w:ascii="Arial" w:hAnsi="Arial"/>
          <w:b/>
          <w:color w:val="1F4E5F"/>
          <w:sz w:val="30"/>
        </w:rPr>
        <w:t>LEVER 2 — STRENGTHENED: MARCORA-STYLE BUYOUT MATCHING</w:t>
      </w:r>
    </w:p>
    <w:p>
      <w:pPr>
        <w:spacing w:after="160"/>
      </w:pPr>
      <w:r>
        <w:rPr>
          <w:rFonts w:ascii="Arial" w:hAnsi="Arial"/>
          <w:sz w:val="22"/>
        </w:rPr>
        <w:t>The cooperative conversion pipeline is upgraded from technical assistance to financed program: worker capital in buyout cooperatives is matched 1:1 from the Cooperative Development Pool, and acquisitions are backed by the Asset Leverage collateral pool (Mechanism 7). Emilia-Romagna's results since 2007 — 56 cooperatives created, nearly 1,200 jobs saved — establish the model. Succession conversions of retiring-owner businesses become the incubation program's primary pipeline, ahead of startups.</w:t>
      </w:r>
    </w:p>
    <w:p>
      <w:r>
        <w:br w:type="page"/>
      </w:r>
    </w:p>
    <w:sectPr w:rsidR="00FC693F" w:rsidRPr="0006063C" w:rsidSect="00034616">
      <w:headerReference w:type="default" r:id="rId9"/>
      <w:footerReference w:type="default" r:id="rId10"/>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95959"/>
        <w:sz w:val="16"/>
      </w:rPr>
      <w:t xml:space="preserve">HAC-ES  ·  Employment Strategy  |  Page </w:t>
    </w:r>
    <w:r>
      <w:rPr>
        <w:rFonts w:ascii="Arial" w:hAnsi="Arial"/>
        <w:color w:val="595959"/>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6" w:space="2" w:color="CCCCCC"/>
      </w:pBdr>
    </w:pPr>
    <w:r>
      <w:rPr>
        <w:rFonts w:ascii="Arial" w:hAnsi="Arial"/>
        <w:b/>
        <w:color w:val="1F4E79"/>
        <w:sz w:val="18"/>
      </w:rPr>
      <w:t>HUMAN ASSET COOPERATIVE OF EUGENE-SPRINGFIELD</w:t>
    </w:r>
    <w:r>
      <w:rPr>
        <w:rFonts w:ascii="Arial" w:hAnsi="Arial"/>
        <w:color w:val="595959"/>
        <w:sz w:val="18"/>
      </w:rPr>
      <w:t xml:space="preserve">   |   Employment Strategy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00" w:after="200"/>
      <w:outlineLvl w:val="0"/>
    </w:pPr>
    <w:rPr>
      <w:rFonts w:asciiTheme="majorHAnsi" w:eastAsiaTheme="majorEastAsia" w:hAnsiTheme="majorHAnsi" w:cstheme="majorBidi" w:ascii="Arial" w:hAnsi="Arial"/>
      <w:b/>
      <w:bCs/>
      <w:color w:val="1F4E79"/>
      <w:sz w:val="34"/>
      <w:szCs w:val="28"/>
    </w:rPr>
  </w:style>
  <w:style w:type="paragraph" w:styleId="Heading2">
    <w:name w:val="heading 2"/>
    <w:basedOn w:val="Normal"/>
    <w:next w:val="Normal"/>
    <w:link w:val="Heading2Char"/>
    <w:uiPriority w:val="9"/>
    <w:unhideWhenUsed/>
    <w:qFormat/>
    <w:rsid w:val="00FC693F"/>
    <w:pPr>
      <w:keepNext/>
      <w:keepLines/>
      <w:spacing w:before="280" w:after="160"/>
      <w:outlineLvl w:val="1"/>
    </w:pPr>
    <w:rPr>
      <w:rFonts w:asciiTheme="majorHAnsi" w:eastAsiaTheme="majorEastAsia" w:hAnsiTheme="majorHAnsi" w:cstheme="majorBidi" w:ascii="Arial" w:hAnsi="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Arial" w:hAnsi="Arial"/>
      <w:b/>
      <w:bCs/>
      <w:color w:val="2C2C2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