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74D3A" w:val="clear"/>
            <w:tcMar>
              <w:top w:type="dxa" w:w="400"/>
              <w:left w:type="dxa" w:w="480"/>
              <w:bottom w:type="dxa" w:w="360"/>
              <w:right w:type="dxa" w:w="480"/>
            </w:tcMar>
          </w:tcPr>
          <w:p>
            <w:pPr>
              <w:spacing w:after="80" w:before="0"/>
            </w:pPr>
            <w:r>
              <w:rPr>
                <w:rFonts w:ascii="Arial" w:cs="Arial" w:eastAsia="Arial" w:hAnsi="Arial"/>
                <w:b/>
                <w:bCs/>
                <w:color w:val="FFFFFF"/>
                <w:sz w:val="48"/>
                <w:szCs w:val="48"/>
              </w:rPr>
              <w:t xml:space="preserve">HUMAN ASSET COOPERATIVE</w:t>
            </w:r>
          </w:p>
          <w:p>
            <w:pPr>
              <w:pStyle w:val="Normal"/>
              <w:rPr>
                <w:b/>
                <w:color w:val="7c3aed"/>
              </w:rPr>
            </w:pPr>
            <w:r>
              <w:rPr>
                <w:b/>
                <w:color w:val="7c3aed"/>
              </w:rPr>
              <w:t>ENTITY STRUCTURE (2026):  HAC-ES now operates as a hybrid nonprofit-cooperative organization. The 501(c)(3) nonprofit entity manages charitable programs, grants, and tax-exempt fundraising. The worker cooperative entity manages operations and distributes Human Asset Dividends to members annually. An Inter-entity Services Agreement governs collaboration between the two entities. References to the Cooperative in this document apply to the relevant entity in context.</w:t>
            </w:r>
          </w:p>
          <w:p>
            <w:pPr>
              <w:pStyle w:val="Normal"/>
              <w:rPr>
                <w:b/>
                <w:color w:val="7c3aed"/>
              </w:rPr>
            </w:pPr>
            <w:r>
              <w:rPr>
                <w:b/>
                <w:color w:val="7c3aed"/>
              </w:rPr>
              <w:t xml:space="preserve">IRA direct pay provisions apply to the 501(c)(3) nonprofit entity. Green energy business incubation is a cooperative function.</w:t>
            </w:r>
          </w:p>
          <w:p>
            <w:pPr>
              <w:spacing w:after="160" w:before="0"/>
            </w:pPr>
            <w:r>
              <w:rPr>
                <w:rFonts w:ascii="Arial" w:cs="Arial" w:eastAsia="Arial" w:hAnsi="Arial"/>
                <w:i/>
                <w:iCs/>
                <w:color w:val="A8D5B8"/>
                <w:sz w:val="30"/>
                <w:szCs w:val="30"/>
              </w:rPr>
              <w:t xml:space="preserve">of Eugene-Springfield</w:t>
            </w:r>
          </w:p>
          <w:p>
            <w:pPr>
              <w:spacing w:after="0" w:before="80"/>
            </w:pPr>
            <w:r>
              <w:rPr>
                <w:rFonts w:ascii="Arial" w:cs="Arial" w:eastAsia="Arial" w:hAnsi="Arial"/>
                <w:b/>
                <w:bCs/>
                <w:color w:val="1AAF7A"/>
                <w:sz w:val="20"/>
                <w:szCs w:val="20"/>
              </w:rPr>
              <w:t xml:space="preserve">GREEN ENERGY BUSINESS INTEGRATION STRATEGY  |  2026</w:t>
            </w:r>
          </w:p>
        </w:tc>
      </w:tr>
    </w:tbl>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D7A5A" w:sz="4"/>
              <w:left w:val="single" w:color="0D7A5A" w:sz="24"/>
              <w:bottom w:val="single" w:color="0D7A5A" w:sz="4"/>
              <w:right w:val="none" w:color="FFFFFF" w:sz="0"/>
            </w:tcBorders>
            <w:shd w:fill="E1F5EE" w:val="clear"/>
            <w:tcMar>
              <w:top w:type="dxa" w:w="120"/>
              <w:left w:type="dxa" w:w="240"/>
              <w:bottom w:type="dxa" w:w="120"/>
              <w:right w:type="dxa" w:w="240"/>
            </w:tcMar>
          </w:tcPr>
          <w:p>
            <w:pPr>
              <w:spacing w:after="0" w:before="0"/>
            </w:pPr>
            <w:r>
              <w:rPr>
                <w:rFonts w:ascii="Arial" w:cs="Arial" w:eastAsia="Arial" w:hAnsi="Arial"/>
                <w:i/>
                <w:iCs/>
                <w:color w:val="0D7A5A"/>
                <w:sz w:val="22"/>
                <w:szCs w:val="22"/>
              </w:rPr>
              <w:t xml:space="preserve">Yes — HAC-ES can own, operate, and incubate green energy businesses. The Inflation Reduction Act's direct pay provisions, Oregon's clean energy infrastructure, and the cooperative ownership model make this not just possible but strategically powerful. Green energy is one of the most compelling paths to long-term Fund self-sufficiency.</w:t>
            </w:r>
          </w:p>
        </w:tc>
      </w:tr>
    </w:tbl>
    <w:p>
      <w:pPr>
        <w:spacing w:after="0" w:before="200"/>
      </w:pPr>
      <w:r>
        <w:t xml:space="preserve"/>
      </w:r>
    </w:p>
    <w:p>
      <w:pPr>
        <w:pStyle w:val="Heading1"/>
        <w:spacing w:after="160" w:before="320"/>
      </w:pPr>
      <w:r>
        <w:rPr>
          <w:rFonts w:ascii="Arial" w:cs="Arial" w:eastAsia="Arial" w:hAnsi="Arial"/>
          <w:b/>
          <w:bCs/>
          <w:color w:val="0B3D6B"/>
          <w:sz w:val="34"/>
          <w:szCs w:val="34"/>
        </w:rPr>
        <w:t xml:space="preserve">PART I — THE SHORT ANSWER</w:t>
      </w:r>
    </w:p>
    <w:p>
      <w:pPr>
        <w:pBdr>
          <w:bottom w:val="single" w:color="0B3D6B" w:sz="6" w:space="1"/>
        </w:pBdr>
        <w:spacing w:after="0" w:before="0"/>
      </w:pPr>
      <w:r>
        <w:t xml:space="preserve"/>
      </w:r>
    </w:p>
    <w:p>
      <w:pPr>
        <w:spacing w:after="0" w:before="100"/>
      </w:pPr>
      <w:r>
        <w:t xml:space="preserve"/>
      </w:r>
    </w:p>
    <w:p>
      <w:pPr>
        <w:pStyle w:val="Heading2"/>
        <w:spacing w:after="120" w:before="240"/>
      </w:pPr>
      <w:r>
        <w:rPr>
          <w:rFonts w:ascii="Arial" w:cs="Arial" w:eastAsia="Arial" w:hAnsi="Arial"/>
          <w:b/>
          <w:bCs/>
          <w:color w:val="074D3A"/>
          <w:sz w:val="26"/>
          <w:szCs w:val="26"/>
        </w:rPr>
        <w:t xml:space="preserve">Can HAC-ES incorporate green energy businesses?</w:t>
      </w:r>
    </w:p>
    <w:p>
      <w:pPr>
        <w:spacing w:after="120" w:before="60"/>
        <w:jc w:val="left"/>
      </w:pPr>
      <w:r>
        <w:rPr>
          <w:rFonts w:ascii="Arial" w:cs="Arial" w:eastAsia="Arial" w:hAnsi="Arial"/>
          <w:b w:val="false"/>
          <w:bCs w:val="false"/>
          <w:i w:val="false"/>
          <w:iCs w:val="false"/>
          <w:color w:val="1C1C1A"/>
          <w:sz w:val="22"/>
          <w:szCs w:val="22"/>
        </w:rPr>
        <w:t xml:space="preserve">Yes — in four distinct ways, each suited to a different stage of growth and a different risk/return profile: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0"/>
        <w:gridCol w:w="2600"/>
        <w:gridCol w:w="3500"/>
        <w:gridCol w:w="3480"/>
      </w:tblGrid>
      <w:tr>
        <w:trPr>
          <w:tblHeader/>
        </w:trPr>
        <w:tc>
          <w:tcPr>
            <w:tcW w:type="dxa" w:w="5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26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Model</w:t>
            </w:r>
          </w:p>
        </w:tc>
        <w:tc>
          <w:tcPr>
            <w:tcW w:type="dxa" w:w="35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How It Works</w:t>
            </w:r>
          </w:p>
        </w:tc>
        <w:tc>
          <w:tcPr>
            <w:tcW w:type="dxa" w:w="34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When to Start</w:t>
            </w:r>
          </w:p>
        </w:tc>
      </w:tr>
      <w:tr>
        <w:tc>
          <w:tcPr>
            <w:tcW w:type="dxa" w:w="500"/>
            <w:tcBorders>
              <w:top w:val="single" w:color="CCCCCC" w:sz="1"/>
              <w:left w:val="single" w:color="CCCCCC" w:sz="1"/>
              <w:bottom w:val="single" w:color="CCCCCC" w:sz="1"/>
              <w:right w:val="single" w:color="CCCCCC" w:sz="1"/>
            </w:tcBorders>
            <w:shd w:fill="D48B00" w:val="clear"/>
            <w:tcMar>
              <w:top w:type="dxa" w:w="80"/>
              <w:left w:type="dxa" w:w="80"/>
              <w:bottom w:type="dxa" w:w="80"/>
              <w:right w:type="dxa" w:w="80"/>
            </w:tcMar>
          </w:tcPr>
          <w:p>
            <w:pPr>
              <w:jc w:val="center"/>
            </w:pPr>
            <w:r>
              <w:rPr>
                <w:rFonts w:ascii="Arial" w:cs="Arial" w:eastAsia="Arial" w:hAnsi="Arial"/>
                <w:b/>
                <w:bCs/>
                <w:color w:val="FFFFFF"/>
                <w:sz w:val="22"/>
                <w:szCs w:val="22"/>
              </w:rPr>
              <w:t xml:space="preserve">1</w:t>
            </w:r>
          </w:p>
        </w:tc>
        <w:tc>
          <w:tcPr>
            <w:tcW w:type="dxa" w:w="2600"/>
            <w:tcBorders>
              <w:top w:val="single" w:color="CCCCCC" w:sz="1"/>
              <w:left w:val="single" w:color="CCCCCC" w:sz="1"/>
              <w:bottom w:val="single" w:color="CCCCCC" w:sz="1"/>
              <w:right w:val="single" w:color="CCCCCC" w:sz="1"/>
            </w:tcBorders>
            <w:shd w:fill="FFF8E6" w:val="clear"/>
            <w:tcMar>
              <w:top w:type="dxa" w:w="80"/>
              <w:left w:type="dxa" w:w="120"/>
              <w:bottom w:type="dxa" w:w="80"/>
              <w:right w:type="dxa" w:w="120"/>
            </w:tcMar>
          </w:tcPr>
          <w:p>
            <w:r>
              <w:rPr>
                <w:rFonts w:ascii="Arial" w:cs="Arial" w:eastAsia="Arial" w:hAnsi="Arial"/>
                <w:b/>
                <w:bCs/>
                <w:color w:val="D48B00"/>
                <w:sz w:val="20"/>
                <w:szCs w:val="20"/>
              </w:rPr>
              <w:t xml:space="preserve">Own solar on CLT properties</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HAC-ES installs solar panels on Community Land Trust properties it owns. Electricity reduces member utility bills; excess sold to EWEB. IRA direct pay returns 30–50% of costs as federal cash.</w:t>
            </w:r>
          </w:p>
        </w:tc>
        <w:tc>
          <w:tcPr>
            <w:tcW w:type="dxa" w:w="348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sz w:val="20"/>
                <w:szCs w:val="20"/>
              </w:rPr>
              <w:t xml:space="preserve">Phase 2 (Year 2) — as soon as first CLT property is acquired</w:t>
            </w:r>
          </w:p>
        </w:tc>
      </w:tr>
      <w:tr>
        <w:tc>
          <w:tcPr>
            <w:tcW w:type="dxa" w:w="500"/>
            <w:tcBorders>
              <w:top w:val="single" w:color="CCCCCC" w:sz="1"/>
              <w:left w:val="single" w:color="CCCCCC" w:sz="1"/>
              <w:bottom w:val="single" w:color="CCCCCC" w:sz="1"/>
              <w:right w:val="single" w:color="CCCCCC" w:sz="1"/>
            </w:tcBorders>
            <w:shd w:fill="074D3A" w:val="clear"/>
            <w:tcMar>
              <w:top w:type="dxa" w:w="80"/>
              <w:left w:type="dxa" w:w="80"/>
              <w:bottom w:type="dxa" w:w="80"/>
              <w:right w:type="dxa" w:w="80"/>
            </w:tcMar>
          </w:tcPr>
          <w:p>
            <w:pPr>
              <w:jc w:val="center"/>
            </w:pPr>
            <w:r>
              <w:rPr>
                <w:rFonts w:ascii="Arial" w:cs="Arial" w:eastAsia="Arial" w:hAnsi="Arial"/>
                <w:b/>
                <w:bCs/>
                <w:color w:val="FFFFFF"/>
                <w:sz w:val="22"/>
                <w:szCs w:val="22"/>
              </w:rPr>
              <w:t xml:space="preserve">2</w:t>
            </w:r>
          </w:p>
        </w:tc>
        <w:tc>
          <w:tcPr>
            <w:tcW w:type="dxa" w:w="26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074D3A"/>
                <w:sz w:val="20"/>
                <w:szCs w:val="20"/>
              </w:rPr>
              <w:t xml:space="preserve">Worker-owned installation cooperative</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HAC-ES incubates a worker-owned solar/weatherization cooperative. HAC-ES is the anchor customer. Members get living-wage green jobs. Profits flow partly to the Human Asset Fund via equity stake.</w:t>
            </w:r>
          </w:p>
        </w:tc>
        <w:tc>
          <w:tcPr>
            <w:tcW w:type="dxa" w:w="348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sz w:val="20"/>
                <w:szCs w:val="20"/>
              </w:rPr>
              <w:t xml:space="preserve">Phase 2/3 (Year 2–3) — incubator first cohort</w:t>
            </w:r>
          </w:p>
        </w:tc>
      </w:tr>
      <w:tr>
        <w:tc>
          <w:tcPr>
            <w:tcW w:type="dxa" w:w="500"/>
            <w:tcBorders>
              <w:top w:val="single" w:color="CCCCCC" w:sz="1"/>
              <w:left w:val="single" w:color="CCCCCC" w:sz="1"/>
              <w:bottom w:val="single" w:color="CCCCCC" w:sz="1"/>
              <w:right w:val="single" w:color="CCCCCC" w:sz="1"/>
            </w:tcBorders>
            <w:shd w:fill="1B5C9A" w:val="clear"/>
            <w:tcMar>
              <w:top w:type="dxa" w:w="80"/>
              <w:left w:type="dxa" w:w="80"/>
              <w:bottom w:type="dxa" w:w="80"/>
              <w:right w:type="dxa" w:w="80"/>
            </w:tcMar>
          </w:tcPr>
          <w:p>
            <w:pPr>
              <w:jc w:val="center"/>
            </w:pPr>
            <w:r>
              <w:rPr>
                <w:rFonts w:ascii="Arial" w:cs="Arial" w:eastAsia="Arial" w:hAnsi="Arial"/>
                <w:b/>
                <w:bCs/>
                <w:color w:val="FFFFFF"/>
                <w:sz w:val="22"/>
                <w:szCs w:val="22"/>
              </w:rPr>
              <w:t xml:space="preserve">3</w:t>
            </w:r>
          </w:p>
        </w:tc>
        <w:tc>
          <w:tcPr>
            <w:tcW w:type="dxa" w:w="26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1B5C9A"/>
                <w:sz w:val="20"/>
                <w:szCs w:val="20"/>
              </w:rPr>
              <w:t xml:space="preserve">HAC-ES community solar array</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HAC-ES develops and owns a community solar project. Members subscribe and receive monthly bill credits. Non-member households can subscribe too — generating revenue for the Human Asset Fund.</w:t>
            </w:r>
          </w:p>
        </w:tc>
        <w:tc>
          <w:tcPr>
            <w:tcW w:type="dxa" w:w="348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sz w:val="20"/>
                <w:szCs w:val="20"/>
              </w:rPr>
              <w:t xml:space="preserve">Phase 3 (Year 3) — requires Fund and CDFI capital</w:t>
            </w:r>
          </w:p>
        </w:tc>
      </w:tr>
      <w:tr>
        <w:tc>
          <w:tcPr>
            <w:tcW w:type="dxa" w:w="500"/>
            <w:tcBorders>
              <w:top w:val="single" w:color="CCCCCC" w:sz="1"/>
              <w:left w:val="single" w:color="CCCCCC" w:sz="1"/>
              <w:bottom w:val="single" w:color="CCCCCC" w:sz="1"/>
              <w:right w:val="single" w:color="CCCCCC" w:sz="1"/>
            </w:tcBorders>
            <w:shd w:fill="2E7D9A" w:val="clear"/>
            <w:tcMar>
              <w:top w:type="dxa" w:w="80"/>
              <w:left w:type="dxa" w:w="80"/>
              <w:bottom w:type="dxa" w:w="80"/>
              <w:right w:type="dxa" w:w="80"/>
            </w:tcMar>
          </w:tcPr>
          <w:p>
            <w:pPr>
              <w:jc w:val="center"/>
            </w:pPr>
            <w:r>
              <w:rPr>
                <w:rFonts w:ascii="Arial" w:cs="Arial" w:eastAsia="Arial" w:hAnsi="Arial"/>
                <w:b/>
                <w:bCs/>
                <w:color w:val="FFFFFF"/>
                <w:sz w:val="22"/>
                <w:szCs w:val="22"/>
              </w:rPr>
              <w:t xml:space="preserve">4</w:t>
            </w:r>
          </w:p>
        </w:tc>
        <w:tc>
          <w:tcPr>
            <w:tcW w:type="dxa" w:w="26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Arial" w:cs="Arial" w:eastAsia="Arial" w:hAnsi="Arial"/>
                <w:b/>
                <w:bCs/>
                <w:color w:val="2E7D9A"/>
                <w:sz w:val="20"/>
                <w:szCs w:val="20"/>
              </w:rPr>
              <w:t xml:space="preserve">Wind energy (rural CLT properties)</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Small-scale wind on rural CLT farmland or large property lots. Generates electricity sold to EWEB or used on-site. IRA Production Tax Credit paid as direct cash to nonprofit. Best suited to rural Lane County.</w:t>
            </w:r>
          </w:p>
        </w:tc>
        <w:tc>
          <w:tcPr>
            <w:tcW w:type="dxa" w:w="348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sz w:val="20"/>
                <w:szCs w:val="20"/>
              </w:rPr>
              <w:t xml:space="preserve">Phase 4+ — requires rural CLT land and capital</w:t>
            </w:r>
          </w:p>
        </w:tc>
      </w:tr>
    </w:tbl>
    <w:p>
      <w:pPr>
        <w:spacing w:after="0" w:before="200"/>
      </w:pPr>
      <w:r>
        <w:t xml:space="preserve"/>
      </w:r>
    </w:p>
    <w:p>
      <w:pPr>
        <w:pStyle w:val="Heading1"/>
        <w:spacing w:after="160" w:before="320"/>
      </w:pPr>
      <w:r>
        <w:rPr>
          <w:rFonts w:ascii="Arial" w:cs="Arial" w:eastAsia="Arial" w:hAnsi="Arial"/>
          <w:b/>
          <w:bCs/>
          <w:color w:val="0B3D6B"/>
          <w:sz w:val="34"/>
          <w:szCs w:val="34"/>
        </w:rPr>
        <w:t xml:space="preserve">PART II — THE IRA DIRECT PAY BREAKTHROUGH</w:t>
      </w:r>
    </w:p>
    <w:p>
      <w:pPr>
        <w:pBdr>
          <w:bottom w:val="single" w:color="0B3D6B" w:sz="6" w:space="1"/>
        </w:pBdr>
        <w:spacing w:after="0" w:before="0"/>
      </w:pPr>
      <w:r>
        <w:t xml:space="preserve"/>
      </w:r>
    </w:p>
    <w:p>
      <w:pPr>
        <w:spacing w:after="0" w:before="100"/>
      </w:pPr>
      <w:r>
        <w:t xml:space="preserve"/>
      </w:r>
    </w:p>
    <w:p>
      <w:pPr>
        <w:spacing w:after="120" w:before="60"/>
        <w:jc w:val="left"/>
      </w:pPr>
      <w:r>
        <w:rPr>
          <w:rFonts w:ascii="Arial" w:cs="Arial" w:eastAsia="Arial" w:hAnsi="Arial"/>
          <w:b w:val="false"/>
          <w:bCs w:val="false"/>
          <w:i w:val="false"/>
          <w:iCs w:val="false"/>
          <w:color w:val="1C1C1A"/>
          <w:sz w:val="22"/>
          <w:szCs w:val="22"/>
        </w:rPr>
        <w:t xml:space="preserve">The single most important reason HAC-ES can make green energy financially viable as a nonprofit cooperative is a provision most people have not heard of: IRA Section 6417 — Elective Payment of Applicable Credits, known as 'direct pay.'</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74D3A" w:sz="4"/>
              <w:left w:val="single" w:color="074D3A" w:sz="4"/>
              <w:bottom w:val="single" w:color="074D3A" w:sz="4"/>
              <w:right w:val="single" w:color="074D3A" w:sz="4"/>
            </w:tcBorders>
            <w:shd w:fill="E1F5EE" w:val="clear"/>
            <w:tcMar>
              <w:top w:type="dxa" w:w="120"/>
              <w:left w:type="dxa" w:w="200"/>
              <w:bottom w:type="dxa" w:w="120"/>
              <w:right w:type="dxa" w:w="200"/>
            </w:tcMar>
          </w:tcPr>
          <w:p>
            <w:pPr>
              <w:spacing w:after="0" w:before="0"/>
            </w:pPr>
            <w:r>
              <w:rPr>
                <w:rFonts w:ascii="Arial" w:cs="Arial" w:eastAsia="Arial" w:hAnsi="Arial"/>
                <w:color w:val="1C1C1A"/>
                <w:sz w:val="22"/>
                <w:szCs w:val="22"/>
              </w:rPr>
              <w:t xml:space="preserve">Before the IRA, clean energy tax credits were useless to nonprofits. You can't claim an Investment Tax Credit if you don't pay income tax. Direct pay changes this entirely: tax-exempt entities — including nonprofit cooperatives — can now receive clean energy tax credits as direct cash payments from the federal government. No tax liability required.</w:t>
            </w:r>
          </w:p>
        </w:tc>
      </w:tr>
    </w:tbl>
    <w:p>
      <w:pPr>
        <w:spacing w:after="0" w:before="120"/>
      </w:pPr>
      <w:r>
        <w:t xml:space="preserve"/>
      </w:r>
    </w:p>
    <w:p>
      <w:pPr>
        <w:spacing w:after="80" w:before="180"/>
      </w:pPr>
      <w:r>
        <w:rPr>
          <w:rFonts w:ascii="Arial" w:cs="Arial" w:eastAsia="Arial" w:hAnsi="Arial"/>
          <w:b/>
          <w:bCs/>
          <w:color w:val="0B3D6B"/>
          <w:sz w:val="22"/>
          <w:szCs w:val="22"/>
        </w:rPr>
        <w:t xml:space="preserve">What Direct Pay Means for HAC-ES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5080"/>
      </w:tblGrid>
      <w:tr>
        <w:trPr>
          <w:tblHeader/>
        </w:trPr>
        <w:tc>
          <w:tcPr>
            <w:tcW w:type="dxa" w:w="32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Clean Energy Credit</w:t>
            </w:r>
          </w:p>
        </w:tc>
        <w:tc>
          <w:tcPr>
            <w:tcW w:type="dxa" w:w="18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Direct Pay Rate</w:t>
            </w:r>
          </w:p>
        </w:tc>
        <w:tc>
          <w:tcPr>
            <w:tcW w:type="dxa" w:w="50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HAC-ES Application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Investment Tax Credit (ITC) — Solar</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30% of cost</w:t>
            </w:r>
          </w:p>
        </w:tc>
        <w:tc>
          <w:tcPr>
            <w:tcW w:type="dxa" w:w="5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HAC-ES installs $200,000 solar on CLT properties → receives $60,000 federal cash payment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Low-Income Community Bonus (Sec. 48E(h))</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10–20% bonus</w:t>
            </w:r>
          </w:p>
        </w:tc>
        <w:tc>
          <w:tcPr>
            <w:tcW w:type="dxa" w:w="5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HAC-ES qualifies as a low-income community project → total credit up to 50% of installation cost</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Energy Communities Bonus</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10% bonus</w:t>
            </w:r>
          </w:p>
        </w:tc>
        <w:tc>
          <w:tcPr>
            <w:tcW w:type="dxa" w:w="5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Lane County may qualify as an energy community → additional 10% stacks on ITC</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Production Tax Credit (PTC) — Wind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2.75¢/kWh (2026)</w:t>
            </w:r>
          </w:p>
        </w:tc>
        <w:tc>
          <w:tcPr>
            <w:tcW w:type="dxa" w:w="5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Wind generation on CLT rural properties → annual direct cash per kWh produced for 10 years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HEEHRA Heat Pump Rebate</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Up to $8,000/unit</w:t>
            </w:r>
          </w:p>
        </w:tc>
        <w:tc>
          <w:tcPr>
            <w:tcW w:type="dxa" w:w="5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Income-qualified member households → direct rebate for heat pump installation on CLT properties</w:t>
            </w:r>
          </w:p>
        </w:tc>
      </w:tr>
    </w:tbl>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8B00" w:sz="4"/>
              <w:left w:val="single" w:color="D48B00" w:sz="24"/>
              <w:bottom w:val="single" w:color="D48B00" w:sz="4"/>
              <w:right w:val="none" w:color="FFFFFF" w:sz="0"/>
            </w:tcBorders>
            <w:shd w:fill="FFF8E6" w:val="clear"/>
            <w:tcMar>
              <w:top w:type="dxa" w:w="120"/>
              <w:left w:type="dxa" w:w="240"/>
              <w:bottom w:type="dxa" w:w="120"/>
              <w:right w:type="dxa" w:w="240"/>
            </w:tcMar>
          </w:tcPr>
          <w:p>
            <w:pPr>
              <w:spacing w:after="0" w:before="0"/>
            </w:pPr>
            <w:r>
              <w:rPr>
                <w:rFonts w:ascii="Arial" w:cs="Arial" w:eastAsia="Arial" w:hAnsi="Arial"/>
                <w:i/>
                <w:iCs/>
                <w:color w:val="D48B00"/>
                <w:sz w:val="22"/>
                <w:szCs w:val="22"/>
              </w:rPr>
              <w:t xml:space="preserve">On a $200,000 solar installation, HAC-ES could receive $60,000–$100,000 in federal direct pay credits, stacking low-income community bonuses. This dramatically reduces the effective cost of every installation and accelerates payback — making solar a genuine revenue-generating asset, not just a program cost.</w:t>
            </w:r>
          </w:p>
        </w:tc>
      </w:tr>
    </w:tbl>
    <w:p>
      <w:pPr>
        <w:spacing w:after="0" w:before="120"/>
      </w:pPr>
      <w:r>
        <w:t xml:space="preserve"/>
      </w:r>
    </w:p>
    <w:p>
      <w:pPr>
        <w:spacing w:after="80" w:before="180"/>
      </w:pPr>
      <w:r>
        <w:rPr>
          <w:rFonts w:ascii="Arial" w:cs="Arial" w:eastAsia="Arial" w:hAnsi="Arial"/>
          <w:b/>
          <w:bCs/>
          <w:color w:val="0B3D6B"/>
          <w:sz w:val="22"/>
          <w:szCs w:val="22"/>
        </w:rPr>
        <w:t xml:space="preserve">The Financial Model — Solar on CLT Properties</w:t>
      </w:r>
    </w:p>
    <w:p>
      <w:pPr>
        <w:spacing w:after="120" w:before="60"/>
        <w:jc w:val="left"/>
      </w:pPr>
      <w:r>
        <w:rPr>
          <w:rFonts w:ascii="Arial" w:cs="Arial" w:eastAsia="Arial" w:hAnsi="Arial"/>
          <w:b w:val="false"/>
          <w:bCs w:val="false"/>
          <w:i w:val="false"/>
          <w:iCs w:val="false"/>
          <w:color w:val="1C1C1A"/>
          <w:sz w:val="22"/>
          <w:szCs w:val="22"/>
        </w:rPr>
        <w:t xml:space="preserve">Here is a worked example for a single CLT property with a rooftop solar installation:</w:t>
      </w:r>
    </w:p>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0"/>
        <w:gridCol w:w="3040"/>
        <w:gridCol w:w="3040"/>
      </w:tblGrid>
      <w:tr>
        <w:trPr>
          <w:tblHeader/>
        </w:trPr>
        <w:tc>
          <w:tcPr>
            <w:tcW w:type="dxa" w:w="40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304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Conservative Case</w:t>
            </w:r>
          </w:p>
        </w:tc>
        <w:tc>
          <w:tcPr>
            <w:tcW w:type="dxa" w:w="304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Optimistic Case</w:t>
            </w:r>
          </w:p>
        </w:tc>
      </w:tr>
      <w:tr>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Solar system size</w:t>
            </w:r>
          </w:p>
        </w:tc>
        <w:tc>
          <w:tcPr>
            <w:tcW w:type="dxa" w:w="30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25 kW</w:t>
            </w:r>
          </w:p>
        </w:tc>
        <w:tc>
          <w:tcPr>
            <w:tcW w:type="dxa" w:w="30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50 kW</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Gross installation cost</w:t>
            </w:r>
          </w:p>
        </w:tc>
        <w:tc>
          <w:tcPr>
            <w:tcW w:type="dxa" w:w="3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$75,000</w:t>
            </w:r>
          </w:p>
        </w:tc>
        <w:tc>
          <w:tcPr>
            <w:tcW w:type="dxa" w:w="3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$140,000</w:t>
            </w:r>
          </w:p>
        </w:tc>
      </w:tr>
      <w:tr>
        <w:tc>
          <w:tcPr>
            <w:tcW w:type="dxa" w:w="4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sz w:val="20"/>
                <w:szCs w:val="20"/>
              </w:rPr>
              <w:t xml:space="preserve">IRA direct pay (30% ITC)</w:t>
            </w:r>
          </w:p>
        </w:tc>
        <w:tc>
          <w:tcPr>
            <w:tcW w:type="dxa" w:w="304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$22,500</w:t>
            </w:r>
          </w:p>
        </w:tc>
        <w:tc>
          <w:tcPr>
            <w:tcW w:type="dxa" w:w="304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$42,000</w:t>
            </w:r>
          </w:p>
        </w:tc>
      </w:tr>
      <w:tr>
        <w:tc>
          <w:tcPr>
            <w:tcW w:type="dxa" w:w="4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sz w:val="20"/>
                <w:szCs w:val="20"/>
              </w:rPr>
              <w:t xml:space="preserve">Low-income community bonus (20%)</w:t>
            </w:r>
          </w:p>
        </w:tc>
        <w:tc>
          <w:tcPr>
            <w:tcW w:type="dxa" w:w="304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$15,000</w:t>
            </w:r>
          </w:p>
        </w:tc>
        <w:tc>
          <w:tcPr>
            <w:tcW w:type="dxa" w:w="304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$28,000</w:t>
            </w:r>
          </w:p>
        </w:tc>
      </w:tr>
      <w:tr>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Net cost after direct pay</w:t>
            </w:r>
          </w:p>
        </w:tc>
        <w:tc>
          <w:tcPr>
            <w:tcW w:type="dxa" w:w="30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$37,500</w:t>
            </w:r>
          </w:p>
        </w:tc>
        <w:tc>
          <w:tcPr>
            <w:tcW w:type="dxa" w:w="30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$70,000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Annual electricity value (EWEB rate)</w:t>
            </w:r>
          </w:p>
        </w:tc>
        <w:tc>
          <w:tcPr>
            <w:tcW w:type="dxa" w:w="3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$3,500/yr</w:t>
            </w:r>
          </w:p>
        </w:tc>
        <w:tc>
          <w:tcPr>
            <w:tcW w:type="dxa" w:w="3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$7,000/yr</w:t>
            </w:r>
          </w:p>
        </w:tc>
      </w:tr>
      <w:tr>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Payback period</w:t>
            </w:r>
          </w:p>
        </w:tc>
        <w:tc>
          <w:tcPr>
            <w:tcW w:type="dxa" w:w="30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10–11 years</w:t>
            </w:r>
          </w:p>
        </w:tc>
        <w:tc>
          <w:tcPr>
            <w:tcW w:type="dxa" w:w="30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10 years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System lifespan</w:t>
            </w:r>
          </w:p>
        </w:tc>
        <w:tc>
          <w:tcPr>
            <w:tcW w:type="dxa" w:w="3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25–30 years</w:t>
            </w:r>
          </w:p>
        </w:tc>
        <w:tc>
          <w:tcPr>
            <w:tcW w:type="dxa" w:w="3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25–30 years</w:t>
            </w:r>
          </w:p>
        </w:tc>
      </w:tr>
      <w:tr>
        <w:tc>
          <w:tcPr>
            <w:tcW w:type="dxa" w:w="4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sz w:val="20"/>
                <w:szCs w:val="20"/>
              </w:rPr>
              <w:t xml:space="preserve">Net revenue years 11–25</w:t>
            </w:r>
          </w:p>
        </w:tc>
        <w:tc>
          <w:tcPr>
            <w:tcW w:type="dxa" w:w="304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$52,500</w:t>
            </w:r>
          </w:p>
        </w:tc>
        <w:tc>
          <w:tcPr>
            <w:tcW w:type="dxa" w:w="304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$105,000</w:t>
            </w:r>
          </w:p>
        </w:tc>
      </w:tr>
    </w:tbl>
    <w:p>
      <w:pPr>
        <w:spacing w:after="0" w:before="80"/>
      </w:pPr>
      <w:r>
        <w:t xml:space="preserve"/>
      </w:r>
    </w:p>
    <w:p>
      <w:pPr>
        <w:spacing w:after="120" w:before="60"/>
        <w:jc w:val="left"/>
      </w:pPr>
      <w:r>
        <w:rPr>
          <w:rFonts w:ascii="Arial" w:cs="Arial" w:eastAsia="Arial" w:hAnsi="Arial"/>
          <w:b w:val="false"/>
          <w:bCs w:val="false"/>
          <w:i/>
          <w:iCs/>
          <w:color w:val="6A6A65"/>
          <w:sz w:val="22"/>
          <w:szCs w:val="22"/>
        </w:rPr>
        <w:t xml:space="preserve">After payback, each installation generates pure revenue to the Human Asset Fund — or directly reduces member utility bills with zero ongoing cost. At 5 CLT properties with solar by Phase 3, this generates $17,500–$35,000/year in ongoing Fund revenue with no marginal cost.</w:t>
      </w:r>
    </w:p>
    <w:p>
      <w:pPr>
        <w:spacing w:after="0" w:before="200"/>
      </w:pPr>
      <w:r>
        <w:t xml:space="preserve"/>
      </w:r>
    </w:p>
    <w:p>
      <w:r>
        <w:br w:type="page"/>
      </w:r>
    </w:p>
    <w:p>
      <w:pPr>
        <w:pStyle w:val="Heading1"/>
        <w:spacing w:after="160" w:before="320"/>
      </w:pPr>
      <w:r>
        <w:rPr>
          <w:rFonts w:ascii="Arial" w:cs="Arial" w:eastAsia="Arial" w:hAnsi="Arial"/>
          <w:b/>
          <w:bCs/>
          <w:color w:val="0B3D6B"/>
          <w:sz w:val="34"/>
          <w:szCs w:val="34"/>
        </w:rPr>
        <w:t xml:space="preserve">PART III — MODEL 1: SOLAR ON CLT PROPERTIES</w:t>
      </w:r>
    </w:p>
    <w:p>
      <w:pPr>
        <w:pBdr>
          <w:bottom w:val="single" w:color="D48B00" w:sz="6" w:space="1"/>
        </w:pBdr>
        <w:spacing w:after="0" w:before="0"/>
      </w:pPr>
      <w:r>
        <w:t xml:space="preserve"/>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D48B00" w:val="clear"/>
            <w:tcMar>
              <w:top w:type="dxa" w:w="220"/>
              <w:left w:type="dxa" w:w="400"/>
              <w:bottom w:type="dxa" w:w="220"/>
              <w:right w:type="dxa" w:w="400"/>
            </w:tcMar>
          </w:tcPr>
          <w:p>
            <w:pPr>
              <w:spacing w:after="60" w:before="0"/>
            </w:pPr>
            <w:r>
              <w:rPr>
                <w:rFonts w:ascii="Arial" w:cs="Arial" w:eastAsia="Arial" w:hAnsi="Arial"/>
                <w:b/>
                <w:bCs/>
                <w:color w:val="FFFFFF"/>
                <w:sz w:val="32"/>
                <w:szCs w:val="32"/>
              </w:rPr>
              <w:t xml:space="preserve">☀  Solar on Community Land Trust Properties</w:t>
            </w:r>
          </w:p>
          <w:p>
            <w:pPr>
              <w:spacing w:after="0" w:before="0"/>
            </w:pPr>
            <w:r>
              <w:rPr>
                <w:rFonts w:ascii="Arial" w:cs="Arial" w:eastAsia="Arial" w:hAnsi="Arial"/>
                <w:color w:val="CCDDEE"/>
                <w:sz w:val="21"/>
                <w:szCs w:val="21"/>
              </w:rPr>
              <w:t xml:space="preserve">HAC-ES owns the panels. Members own the building. The sun pays for both.</w:t>
            </w:r>
          </w:p>
        </w:tc>
      </w:tr>
    </w:tbl>
    <w:p>
      <w:pPr>
        <w:spacing w:after="0" w:before="120"/>
      </w:pPr>
      <w:r>
        <w:t xml:space="preserve"/>
      </w:r>
    </w:p>
    <w:p>
      <w:pPr>
        <w:pStyle w:val="Heading2"/>
        <w:spacing w:after="120" w:before="240"/>
      </w:pPr>
      <w:r>
        <w:rPr>
          <w:rFonts w:ascii="Arial" w:cs="Arial" w:eastAsia="Arial" w:hAnsi="Arial"/>
          <w:b/>
          <w:bCs/>
          <w:color w:val="D48B00"/>
          <w:sz w:val="26"/>
          <w:szCs w:val="26"/>
        </w:rPr>
        <w:t xml:space="preserve">How It Works</w:t>
      </w:r>
    </w:p>
    <w:p>
      <w:pPr>
        <w:spacing w:after="120" w:before="60"/>
        <w:jc w:val="left"/>
      </w:pPr>
      <w:r>
        <w:rPr>
          <w:rFonts w:ascii="Arial" w:cs="Arial" w:eastAsia="Arial" w:hAnsi="Arial"/>
          <w:b w:val="false"/>
          <w:bCs w:val="false"/>
          <w:i w:val="false"/>
          <w:iCs w:val="false"/>
          <w:color w:val="1C1C1A"/>
          <w:sz w:val="22"/>
          <w:szCs w:val="22"/>
        </w:rPr>
        <w:t xml:space="preserve">As HAC-ES acquires Community Land Trust properties — through donations, below-market sales, and Lane County Land Bank partnerships — every property becomes a candidate for solar installation. HAC-ES owns the panels outright (not a lease or PPA), receives the IRA direct pay credits, and makes the electricity available to member-residents at reduced or zero cost.</w:t>
      </w:r>
    </w:p>
    <w:p>
      <w:pPr>
        <w:spacing w:after="0" w:before="80"/>
      </w:pPr>
      <w:r>
        <w:t xml:space="preserve"/>
      </w:r>
    </w:p>
    <w:p>
      <w:pPr>
        <w:spacing w:after="80" w:before="180"/>
      </w:pPr>
      <w:r>
        <w:rPr>
          <w:rFonts w:ascii="Arial" w:cs="Arial" w:eastAsia="Arial" w:hAnsi="Arial"/>
          <w:b/>
          <w:bCs/>
          <w:color w:val="0B3D6B"/>
          <w:sz w:val="22"/>
          <w:szCs w:val="22"/>
        </w:rPr>
        <w:t xml:space="preserve">Acquisition Sequence</w:t>
      </w:r>
    </w:p>
    <w:p>
      <w:pPr>
        <w:pStyle w:val="ListParagraph"/>
        <w:numPr>
          <w:ilvl w:val="0"/>
          <w:numId w:val="2"/>
        </w:numPr>
        <w:spacing w:after="60" w:before="40"/>
      </w:pPr>
      <w:r>
        <w:rPr>
          <w:rFonts w:ascii="Arial" w:cs="Arial" w:eastAsia="Arial" w:hAnsi="Arial"/>
          <w:sz w:val="22"/>
          <w:szCs w:val="22"/>
        </w:rPr>
        <w:t xml:space="preserve">First CLT property acquired (Phase 2, Year 2): immediately assess solar suitability — roof orientation, shading, structural capacity.</w:t>
      </w:r>
    </w:p>
    <w:p>
      <w:pPr>
        <w:pStyle w:val="ListParagraph"/>
        <w:numPr>
          <w:ilvl w:val="0"/>
          <w:numId w:val="2"/>
        </w:numPr>
        <w:spacing w:after="60" w:before="40"/>
      </w:pPr>
      <w:r>
        <w:rPr>
          <w:rFonts w:ascii="Arial" w:cs="Arial" w:eastAsia="Arial" w:hAnsi="Arial"/>
          <w:sz w:val="22"/>
          <w:szCs w:val="22"/>
        </w:rPr>
        <w:t xml:space="preserve">Engage EWEB Solar Electric Incentive program for installation rebate ($0.20–$0.50/W available for nonprofits).</w:t>
      </w:r>
    </w:p>
    <w:p>
      <w:pPr>
        <w:pStyle w:val="ListParagraph"/>
        <w:numPr>
          <w:ilvl w:val="0"/>
          <w:numId w:val="2"/>
        </w:numPr>
        <w:spacing w:after="60" w:before="40"/>
      </w:pPr>
      <w:r>
        <w:rPr>
          <w:rFonts w:ascii="Arial" w:cs="Arial" w:eastAsia="Arial" w:hAnsi="Arial"/>
          <w:sz w:val="22"/>
          <w:szCs w:val="22"/>
        </w:rPr>
        <w:t xml:space="preserve">Commission installation through HAC-ES's own worker cooperative (if operational) or through a mission-aligned EWEB-approved contractor.</w:t>
      </w:r>
    </w:p>
    <w:p>
      <w:pPr>
        <w:pStyle w:val="ListParagraph"/>
        <w:numPr>
          <w:ilvl w:val="0"/>
          <w:numId w:val="2"/>
        </w:numPr>
        <w:spacing w:after="60" w:before="40"/>
      </w:pPr>
      <w:r>
        <w:rPr>
          <w:rFonts w:ascii="Arial" w:cs="Arial" w:eastAsia="Arial" w:hAnsi="Arial"/>
          <w:sz w:val="22"/>
          <w:szCs w:val="22"/>
        </w:rPr>
        <w:t xml:space="preserve">File for IRA Section 6417 direct pay via IRS Form 3800 after installation is complete and placed in service.</w:t>
      </w:r>
    </w:p>
    <w:p>
      <w:pPr>
        <w:pStyle w:val="ListParagraph"/>
        <w:numPr>
          <w:ilvl w:val="0"/>
          <w:numId w:val="2"/>
        </w:numPr>
        <w:spacing w:after="60" w:before="40"/>
      </w:pPr>
      <w:r>
        <w:rPr>
          <w:rFonts w:ascii="Arial" w:cs="Arial" w:eastAsia="Arial" w:hAnsi="Arial"/>
          <w:sz w:val="22"/>
          <w:szCs w:val="22"/>
        </w:rPr>
        <w:t xml:space="preserve">Receive federal direct pay check (typically 12–16 weeks after filing). Deposit to Human Asset Fund P5 reserve.</w:t>
      </w:r>
    </w:p>
    <w:p>
      <w:pPr>
        <w:pStyle w:val="ListParagraph"/>
        <w:numPr>
          <w:ilvl w:val="0"/>
          <w:numId w:val="2"/>
        </w:numPr>
        <w:spacing w:after="60" w:before="40"/>
      </w:pPr>
      <w:r>
        <w:rPr>
          <w:rFonts w:ascii="Arial" w:cs="Arial" w:eastAsia="Arial" w:hAnsi="Arial"/>
          <w:sz w:val="22"/>
          <w:szCs w:val="22"/>
        </w:rPr>
        <w:t xml:space="preserve">Electricity generated reduces tenant utility bills directly, tracked by HAIS as energy burden reduction.</w:t>
      </w:r>
    </w:p>
    <w:p>
      <w:pPr>
        <w:spacing w:after="0" w:before="120"/>
      </w:pPr>
      <w:r>
        <w:t xml:space="preserve"/>
      </w:r>
    </w:p>
    <w:p>
      <w:pPr>
        <w:spacing w:after="80" w:before="180"/>
      </w:pPr>
      <w:r>
        <w:rPr>
          <w:rFonts w:ascii="Arial" w:cs="Arial" w:eastAsia="Arial" w:hAnsi="Arial"/>
          <w:b/>
          <w:bCs/>
          <w:color w:val="0B3D6B"/>
          <w:sz w:val="22"/>
          <w:szCs w:val="22"/>
        </w:rPr>
        <w:t xml:space="preserve">EWEB Interconnection &amp; Net Metering</w:t>
      </w:r>
    </w:p>
    <w:p>
      <w:pPr>
        <w:spacing w:after="120" w:before="60"/>
        <w:jc w:val="left"/>
      </w:pPr>
      <w:r>
        <w:rPr>
          <w:rFonts w:ascii="Arial" w:cs="Arial" w:eastAsia="Arial" w:hAnsi="Arial"/>
          <w:b w:val="false"/>
          <w:bCs w:val="false"/>
          <w:i w:val="false"/>
          <w:iCs w:val="false"/>
          <w:color w:val="1C1C1A"/>
          <w:sz w:val="22"/>
          <w:szCs w:val="22"/>
        </w:rPr>
        <w:t xml:space="preserve">EWEB offers net metering for small rooftop systems up to 25 kW. Excess generation credits roll over monthly. For larger installations, EWEB's Commercial Solar program applies. HAC-ES should establish a formal partnership agreement with EWEB — both because EWEB is a natural Organizational Member and because EWEB's technical staff can advise on optimal system sizing for each CLT property.</w:t>
      </w:r>
    </w:p>
    <w:p>
      <w:pPr>
        <w:spacing w:after="0" w:before="80"/>
      </w:pPr>
      <w:r>
        <w:t xml:space="preserve"/>
      </w:r>
    </w:p>
    <w:p>
      <w:pPr>
        <w:spacing w:after="120" w:before="60"/>
        <w:jc w:val="left"/>
      </w:pPr>
      <w:r>
        <w:rPr>
          <w:rFonts w:ascii="Arial" w:cs="Arial" w:eastAsia="Arial" w:hAnsi="Arial"/>
          <w:b w:val="false"/>
          <w:bCs w:val="false"/>
          <w:i w:val="false"/>
          <w:iCs w:val="false"/>
          <w:color w:val="1C1C1A"/>
          <w:sz w:val="22"/>
          <w:szCs w:val="22"/>
        </w:rPr>
        <w:t xml:space="preserve">Eugene's Climate Action Plan 2.0 explicitly targets solar expansion as a key emissions reduction lever — making HAC-ES CLT solar installations directly reportable to the City as CAP 2.0 implementation activity, strengthening future CDBG and sustainability grant applications.</w:t>
      </w:r>
    </w:p>
    <w:p>
      <w:pPr>
        <w:spacing w:after="0" w:before="200"/>
      </w:pPr>
      <w:r>
        <w:t xml:space="preserve"/>
      </w:r>
    </w:p>
    <w:p>
      <w:pPr>
        <w:pStyle w:val="Heading1"/>
        <w:spacing w:after="160" w:before="320"/>
      </w:pPr>
      <w:r>
        <w:rPr>
          <w:rFonts w:ascii="Arial" w:cs="Arial" w:eastAsia="Arial" w:hAnsi="Arial"/>
          <w:b/>
          <w:bCs/>
          <w:color w:val="0B3D6B"/>
          <w:sz w:val="34"/>
          <w:szCs w:val="34"/>
        </w:rPr>
        <w:t xml:space="preserve">PART IV — MODEL 2: WORKER-OWNED GREEN ENERGY COOPERATIVE</w:t>
      </w:r>
    </w:p>
    <w:p>
      <w:pPr>
        <w:pBdr>
          <w:bottom w:val="single" w:color="074D3A" w:sz="6" w:space="1"/>
        </w:pBdr>
        <w:spacing w:after="0" w:before="0"/>
      </w:pPr>
      <w:r>
        <w:t xml:space="preserve"/>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74D3A" w:val="clear"/>
            <w:tcMar>
              <w:top w:type="dxa" w:w="220"/>
              <w:left w:type="dxa" w:w="400"/>
              <w:bottom w:type="dxa" w:w="220"/>
              <w:right w:type="dxa" w:w="400"/>
            </w:tcMar>
          </w:tcPr>
          <w:p>
            <w:pPr>
              <w:spacing w:after="60" w:before="0"/>
            </w:pPr>
            <w:r>
              <w:rPr>
                <w:rFonts w:ascii="Arial" w:cs="Arial" w:eastAsia="Arial" w:hAnsi="Arial"/>
                <w:b/>
                <w:bCs/>
                <w:color w:val="FFFFFF"/>
                <w:sz w:val="32"/>
                <w:szCs w:val="32"/>
              </w:rPr>
              <w:t xml:space="preserve">🔧  Lane Green Cooperative</w:t>
            </w:r>
          </w:p>
          <w:p>
            <w:pPr>
              <w:spacing w:after="0" w:before="0"/>
            </w:pPr>
            <w:r>
              <w:rPr>
                <w:rFonts w:ascii="Arial" w:cs="Arial" w:eastAsia="Arial" w:hAnsi="Arial"/>
                <w:color w:val="CCDDEE"/>
                <w:sz w:val="21"/>
                <w:szCs w:val="21"/>
              </w:rPr>
              <w:t xml:space="preserve">A worker-owned installation business incubated by HAC-ES. Members get jobs. The Fund gets equity.</w:t>
            </w:r>
          </w:p>
        </w:tc>
      </w:tr>
    </w:tbl>
    <w:p>
      <w:pPr>
        <w:spacing w:after="0" w:before="120"/>
      </w:pPr>
      <w:r>
        <w:t xml:space="preserve"/>
      </w:r>
    </w:p>
    <w:p>
      <w:pPr>
        <w:pStyle w:val="Heading2"/>
        <w:spacing w:after="120" w:before="240"/>
      </w:pPr>
      <w:r>
        <w:rPr>
          <w:rFonts w:ascii="Arial" w:cs="Arial" w:eastAsia="Arial" w:hAnsi="Arial"/>
          <w:b/>
          <w:bCs/>
          <w:color w:val="074D3A"/>
          <w:sz w:val="26"/>
          <w:szCs w:val="26"/>
        </w:rPr>
        <w:t xml:space="preserve">The Business Case</w:t>
      </w:r>
    </w:p>
    <w:p>
      <w:pPr>
        <w:spacing w:after="120" w:before="60"/>
        <w:jc w:val="left"/>
      </w:pPr>
      <w:r>
        <w:rPr>
          <w:rFonts w:ascii="Arial" w:cs="Arial" w:eastAsia="Arial" w:hAnsi="Arial"/>
          <w:b w:val="false"/>
          <w:bCs w:val="false"/>
          <w:i w:val="false"/>
          <w:iCs w:val="false"/>
          <w:color w:val="1C1C1A"/>
          <w:sz w:val="22"/>
          <w:szCs w:val="22"/>
        </w:rPr>
        <w:t xml:space="preserve">Lane County has a structural shortage of IRA-qualified green energy installation contractors. EWEB's rebate programs, the Oregon Energy Trust weatherization pipeline, and the IRA's home energy rebate programs are all constrained by installer capacity, not customer demand. HAC-ES is positioned to fill that gap with a worker-owned cooperative — creating living-wage jobs for members while capturing the margin that currently goes to outside contractors.</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74D3A" w:sz="4"/>
              <w:left w:val="single" w:color="074D3A" w:sz="4"/>
              <w:bottom w:val="single" w:color="074D3A" w:sz="4"/>
              <w:right w:val="single" w:color="074D3A" w:sz="4"/>
            </w:tcBorders>
            <w:shd w:fill="E1F5EE" w:val="clear"/>
            <w:tcMar>
              <w:top w:type="dxa" w:w="120"/>
              <w:left w:type="dxa" w:w="200"/>
              <w:bottom w:type="dxa" w:w="120"/>
              <w:right w:type="dxa" w:w="200"/>
            </w:tcMar>
          </w:tcPr>
          <w:p>
            <w:pPr>
              <w:spacing w:after="0" w:before="0"/>
            </w:pPr>
            <w:r>
              <w:rPr>
                <w:rFonts w:ascii="Arial" w:cs="Arial" w:eastAsia="Arial" w:hAnsi="Arial"/>
                <w:color w:val="1C1C1A"/>
                <w:sz w:val="22"/>
                <w:szCs w:val="22"/>
              </w:rPr>
              <w:t xml:space="preserve">HAC-ES becomes both the incubator of the cooperative and its first anchor customer — contracting all CLT solar installations, weatherization, and heat pump work through the worker cooperative. This de-risks the business from Day 1. The cooperative has a guaranteed revenue stream before it sells to a single external customer.</w:t>
            </w:r>
          </w:p>
        </w:tc>
      </w:tr>
    </w:tbl>
    <w:p>
      <w:pPr>
        <w:spacing w:after="0" w:before="120"/>
      </w:pPr>
      <w:r>
        <w:t xml:space="preserve"/>
      </w:r>
    </w:p>
    <w:p>
      <w:pPr>
        <w:spacing w:after="80" w:before="180"/>
      </w:pPr>
      <w:r>
        <w:rPr>
          <w:rFonts w:ascii="Arial" w:cs="Arial" w:eastAsia="Arial" w:hAnsi="Arial"/>
          <w:b/>
          <w:bCs/>
          <w:color w:val="0B3D6B"/>
          <w:sz w:val="22"/>
          <w:szCs w:val="22"/>
        </w:rPr>
        <w:t xml:space="preserve">What the Cooperative Does</w:t>
      </w:r>
    </w:p>
    <w:p>
      <w:pPr>
        <w:pStyle w:val="ListParagraph"/>
        <w:numPr>
          <w:ilvl w:val="0"/>
          <w:numId w:val="2"/>
        </w:numPr>
        <w:spacing w:after="60" w:before="40"/>
      </w:pPr>
      <w:r>
        <w:rPr>
          <w:rFonts w:ascii="Arial" w:cs="Arial" w:eastAsia="Arial" w:hAnsi="Arial"/>
          <w:sz w:val="22"/>
          <w:szCs w:val="22"/>
        </w:rPr>
        <w:t xml:space="preserve">Solar installation and maintenance for residential and small commercial properties</w:t>
      </w:r>
    </w:p>
    <w:p>
      <w:pPr>
        <w:pStyle w:val="ListParagraph"/>
        <w:numPr>
          <w:ilvl w:val="0"/>
          <w:numId w:val="2"/>
        </w:numPr>
        <w:spacing w:after="60" w:before="40"/>
      </w:pPr>
      <w:r>
        <w:rPr>
          <w:rFonts w:ascii="Arial" w:cs="Arial" w:eastAsia="Arial" w:hAnsi="Arial"/>
          <w:sz w:val="22"/>
          <w:szCs w:val="22"/>
        </w:rPr>
        <w:t xml:space="preserve">Heat pump installation (ductless mini-split and whole-home systems)</w:t>
      </w:r>
    </w:p>
    <w:p>
      <w:pPr>
        <w:pStyle w:val="ListParagraph"/>
        <w:numPr>
          <w:ilvl w:val="0"/>
          <w:numId w:val="2"/>
        </w:numPr>
        <w:spacing w:after="60" w:before="40"/>
      </w:pPr>
      <w:r>
        <w:rPr>
          <w:rFonts w:ascii="Arial" w:cs="Arial" w:eastAsia="Arial" w:hAnsi="Arial"/>
          <w:sz w:val="22"/>
          <w:szCs w:val="22"/>
        </w:rPr>
        <w:t xml:space="preserve">Home weatherization: insulation, air sealing, window upgrades</w:t>
      </w:r>
    </w:p>
    <w:p>
      <w:pPr>
        <w:pStyle w:val="ListParagraph"/>
        <w:numPr>
          <w:ilvl w:val="0"/>
          <w:numId w:val="2"/>
        </w:numPr>
        <w:spacing w:after="60" w:before="40"/>
      </w:pPr>
      <w:r>
        <w:rPr>
          <w:rFonts w:ascii="Arial" w:cs="Arial" w:eastAsia="Arial" w:hAnsi="Arial"/>
          <w:sz w:val="22"/>
          <w:szCs w:val="22"/>
        </w:rPr>
        <w:t xml:space="preserve">EV charging station installation at residential and multifamily properties</w:t>
      </w:r>
    </w:p>
    <w:p>
      <w:pPr>
        <w:pStyle w:val="ListParagraph"/>
        <w:numPr>
          <w:ilvl w:val="0"/>
          <w:numId w:val="2"/>
        </w:numPr>
        <w:spacing w:after="60" w:before="40"/>
      </w:pPr>
      <w:r>
        <w:rPr>
          <w:rFonts w:ascii="Arial" w:cs="Arial" w:eastAsia="Arial" w:hAnsi="Arial"/>
          <w:sz w:val="22"/>
          <w:szCs w:val="22"/>
        </w:rPr>
        <w:t xml:space="preserve">Energy auditing and efficiency assessment (UO SCORE partnership)</w:t>
      </w:r>
    </w:p>
    <w:p>
      <w:pPr>
        <w:spacing w:after="0" w:before="80"/>
      </w:pPr>
      <w:r>
        <w:t xml:space="preserve"/>
      </w:r>
    </w:p>
    <w:p>
      <w:pPr>
        <w:spacing w:after="80" w:before="180"/>
      </w:pPr>
      <w:r>
        <w:rPr>
          <w:rFonts w:ascii="Arial" w:cs="Arial" w:eastAsia="Arial" w:hAnsi="Arial"/>
          <w:b/>
          <w:bCs/>
          <w:color w:val="0B3D6B"/>
          <w:sz w:val="22"/>
          <w:szCs w:val="22"/>
        </w:rPr>
        <w:t xml:space="preserve">HAC-ES's Role as Incubator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7080"/>
      </w:tblGrid>
      <w:tr>
        <w:trPr>
          <w:tblHeader/>
        </w:trPr>
        <w:tc>
          <w:tcPr>
            <w:tcW w:type="dxa" w:w="30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HAC-ES Provides</w:t>
            </w:r>
          </w:p>
        </w:tc>
        <w:tc>
          <w:tcPr>
            <w:tcW w:type="dxa" w:w="70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Seed capital</w:t>
            </w:r>
          </w:p>
        </w:tc>
        <w:tc>
          <w:tcPr>
            <w:tcW w:type="dxa" w:w="7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Human Asset Fund P4 deployment: $50,000–$150,000 in seed capital for tools, training, and first year operating costs. Co-funded with CDFI partner.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Anchor customer contract</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All HAC-ES CLT property installations and maintenance contracted to the cooperative at market rate. Guaranteed revenue from Day 1.</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Training pathway</w:t>
            </w:r>
          </w:p>
        </w:tc>
        <w:tc>
          <w:tcPr>
            <w:tcW w:type="dxa" w:w="7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HAC-ES funds member training: NABCEP solar certification, BPI building analyst credential, heat pump installation certification. IRA workforce provisions pay most of the training cost.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HAIS market intelligence</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HAIS Employment Module identifies Lane County demand for green trades. HAIS Green Jobs Pipeline matches trained members to the cooperative.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Equity stake</w:t>
            </w:r>
          </w:p>
        </w:tc>
        <w:tc>
          <w:tcPr>
            <w:tcW w:type="dxa" w:w="7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HAC-ES holds a 3–5% equity stake in the cooperative. As the business grows, equity distributions flow to the Human Asset Fund.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EWEB partnership</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EWEB-approved contractor status opens the largest single source of installation demand in Lane County.</w:t>
            </w:r>
          </w:p>
        </w:tc>
      </w:tr>
    </w:tbl>
    <w:p>
      <w:pPr>
        <w:spacing w:after="0" w:before="120"/>
      </w:pPr>
      <w:r>
        <w:t xml:space="preserve"/>
      </w:r>
    </w:p>
    <w:p>
      <w:pPr>
        <w:spacing w:after="80" w:before="180"/>
      </w:pPr>
      <w:r>
        <w:rPr>
          <w:rFonts w:ascii="Arial" w:cs="Arial" w:eastAsia="Arial" w:hAnsi="Arial"/>
          <w:b/>
          <w:bCs/>
          <w:color w:val="0B3D6B"/>
          <w:sz w:val="22"/>
          <w:szCs w:val="22"/>
        </w:rPr>
        <w:t xml:space="preserve">Revenue Projections — Lane Green Cooperative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00"/>
        <w:gridCol w:w="2520"/>
        <w:gridCol w:w="2520"/>
        <w:gridCol w:w="2540"/>
      </w:tblGrid>
      <w:tr>
        <w:trPr>
          <w:tblHeader/>
        </w:trPr>
        <w:tc>
          <w:tcPr>
            <w:tcW w:type="dxa" w:w="25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252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Year 1</w:t>
            </w:r>
          </w:p>
        </w:tc>
        <w:tc>
          <w:tcPr>
            <w:tcW w:type="dxa" w:w="252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Year 2</w:t>
            </w:r>
          </w:p>
        </w:tc>
        <w:tc>
          <w:tcPr>
            <w:tcW w:type="dxa" w:w="254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Year 3+</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Workers</w:t>
            </w:r>
          </w:p>
        </w:tc>
        <w:tc>
          <w:tcPr>
            <w:tcW w:type="dxa" w:w="2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3–4</w:t>
            </w:r>
          </w:p>
        </w:tc>
        <w:tc>
          <w:tcPr>
            <w:tcW w:type="dxa" w:w="2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6–8</w:t>
            </w:r>
          </w:p>
        </w:tc>
        <w:tc>
          <w:tcPr>
            <w:tcW w:type="dxa" w:w="25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10–15</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Installations/year</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40–60</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80–120</w:t>
            </w:r>
          </w:p>
        </w:tc>
        <w:tc>
          <w:tcPr>
            <w:tcW w:type="dxa" w:w="25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150–200+</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Average job value</w:t>
            </w:r>
          </w:p>
        </w:tc>
        <w:tc>
          <w:tcPr>
            <w:tcW w:type="dxa" w:w="2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$8,000</w:t>
            </w:r>
          </w:p>
        </w:tc>
        <w:tc>
          <w:tcPr>
            <w:tcW w:type="dxa" w:w="2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$9,000</w:t>
            </w:r>
          </w:p>
        </w:tc>
        <w:tc>
          <w:tcPr>
            <w:tcW w:type="dxa" w:w="25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$10,000</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Gross revenue</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$360K–$480K</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$720K–$1.08M</w:t>
            </w:r>
          </w:p>
        </w:tc>
        <w:tc>
          <w:tcPr>
            <w:tcW w:type="dxa" w:w="25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$1.5M–$2M</w:t>
            </w:r>
          </w:p>
        </w:tc>
      </w:tr>
      <w:tr>
        <w:tc>
          <w:tcPr>
            <w:tcW w:type="dxa" w:w="25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sz w:val="20"/>
                <w:szCs w:val="20"/>
              </w:rPr>
              <w:t xml:space="preserve">Net income (10%)</w:t>
            </w:r>
          </w:p>
        </w:tc>
        <w:tc>
          <w:tcPr>
            <w:tcW w:type="dxa" w:w="25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$36K–$48K</w:t>
            </w:r>
          </w:p>
        </w:tc>
        <w:tc>
          <w:tcPr>
            <w:tcW w:type="dxa" w:w="25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$72K–$108K</w:t>
            </w:r>
          </w:p>
        </w:tc>
        <w:tc>
          <w:tcPr>
            <w:tcW w:type="dxa" w:w="254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$150K–$200K</w:t>
            </w:r>
          </w:p>
        </w:tc>
      </w:tr>
      <w:tr>
        <w:tc>
          <w:tcPr>
            <w:tcW w:type="dxa" w:w="25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sz w:val="20"/>
                <w:szCs w:val="20"/>
              </w:rPr>
              <w:t xml:space="preserve">HAC-ES equity (4%)</w:t>
            </w:r>
          </w:p>
        </w:tc>
        <w:tc>
          <w:tcPr>
            <w:tcW w:type="dxa" w:w="25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$1,440–$1,920</w:t>
            </w:r>
          </w:p>
        </w:tc>
        <w:tc>
          <w:tcPr>
            <w:tcW w:type="dxa" w:w="25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$2,880–$4,320</w:t>
            </w:r>
          </w:p>
        </w:tc>
        <w:tc>
          <w:tcPr>
            <w:tcW w:type="dxa" w:w="254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val="false"/>
                <w:bCs w:val="false"/>
                <w:sz w:val="20"/>
                <w:szCs w:val="20"/>
              </w:rPr>
              <w:t xml:space="preserve">$6,000–$8,000+</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Member wages</w:t>
            </w:r>
          </w:p>
        </w:tc>
        <w:tc>
          <w:tcPr>
            <w:tcW w:type="dxa" w:w="2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$18–$28/hr living wage</w:t>
            </w:r>
          </w:p>
        </w:tc>
        <w:tc>
          <w:tcPr>
            <w:tcW w:type="dxa" w:w="2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$20–$32/hr</w:t>
            </w:r>
          </w:p>
        </w:tc>
        <w:tc>
          <w:tcPr>
            <w:tcW w:type="dxa" w:w="25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$22–$38/hr</w:t>
            </w:r>
          </w:p>
        </w:tc>
      </w:tr>
    </w:tbl>
    <w:p>
      <w:pPr>
        <w:spacing w:after="0" w:before="80"/>
      </w:pPr>
      <w:r>
        <w:t xml:space="preserve"/>
      </w:r>
    </w:p>
    <w:p>
      <w:pPr>
        <w:spacing w:after="120" w:before="60"/>
        <w:jc w:val="left"/>
      </w:pPr>
      <w:r>
        <w:rPr>
          <w:rFonts w:ascii="Arial" w:cs="Arial" w:eastAsia="Arial" w:hAnsi="Arial"/>
          <w:b w:val="false"/>
          <w:bCs w:val="false"/>
          <w:i/>
          <w:iCs/>
          <w:color w:val="6A6A65"/>
          <w:sz w:val="22"/>
          <w:szCs w:val="22"/>
        </w:rPr>
        <w:t xml:space="preserve">The cooperative's primary value to HAC-ES is the living-wage jobs it creates for members — not the equity distribution. But the equity distribution grows as the cooperative scales, eventually contributing meaningfully to Fund revenue.</w:t>
      </w:r>
    </w:p>
    <w:p>
      <w:pPr>
        <w:spacing w:after="0" w:before="200"/>
      </w:pPr>
      <w:r>
        <w:t xml:space="preserve"/>
      </w:r>
    </w:p>
    <w:p>
      <w:r>
        <w:br w:type="page"/>
      </w:r>
    </w:p>
    <w:p>
      <w:pPr>
        <w:pStyle w:val="Heading1"/>
        <w:spacing w:after="160" w:before="320"/>
      </w:pPr>
      <w:r>
        <w:rPr>
          <w:rFonts w:ascii="Arial" w:cs="Arial" w:eastAsia="Arial" w:hAnsi="Arial"/>
          <w:b/>
          <w:bCs/>
          <w:color w:val="0B3D6B"/>
          <w:sz w:val="34"/>
          <w:szCs w:val="34"/>
        </w:rPr>
        <w:t xml:space="preserve">PART V — MODEL 3: HAC-ES COMMUNITY SOLAR ARRAY</w:t>
      </w:r>
    </w:p>
    <w:p>
      <w:pPr>
        <w:pBdr>
          <w:bottom w:val="single" w:color="1B5C9A" w:sz="6" w:space="1"/>
        </w:pBdr>
        <w:spacing w:after="0" w:before="0"/>
      </w:pPr>
      <w:r>
        <w:t xml:space="preserve"/>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1B5C9A" w:val="clear"/>
            <w:tcMar>
              <w:top w:type="dxa" w:w="220"/>
              <w:left w:type="dxa" w:w="400"/>
              <w:bottom w:type="dxa" w:w="220"/>
              <w:right w:type="dxa" w:w="400"/>
            </w:tcMar>
          </w:tcPr>
          <w:p>
            <w:pPr>
              <w:spacing w:after="60" w:before="0"/>
            </w:pPr>
            <w:r>
              <w:rPr>
                <w:rFonts w:ascii="Arial" w:cs="Arial" w:eastAsia="Arial" w:hAnsi="Arial"/>
                <w:b/>
                <w:bCs/>
                <w:color w:val="FFFFFF"/>
                <w:sz w:val="32"/>
                <w:szCs w:val="32"/>
              </w:rPr>
              <w:t xml:space="preserve">⚡  HAC-ES Community Solar Project</w:t>
            </w:r>
          </w:p>
          <w:p>
            <w:pPr>
              <w:spacing w:after="0" w:before="0"/>
            </w:pPr>
            <w:r>
              <w:rPr>
                <w:rFonts w:ascii="Arial" w:cs="Arial" w:eastAsia="Arial" w:hAnsi="Arial"/>
                <w:color w:val="CCDDEE"/>
                <w:sz w:val="21"/>
                <w:szCs w:val="21"/>
              </w:rPr>
              <w:t xml:space="preserve">HAC-ES develops and owns a solar array. Members subscribe. Revenue funds the cooperative.</w:t>
            </w:r>
          </w:p>
        </w:tc>
      </w:tr>
    </w:tbl>
    <w:p>
      <w:pPr>
        <w:spacing w:after="0" w:before="120"/>
      </w:pPr>
      <w:r>
        <w:t xml:space="preserve"/>
      </w:r>
    </w:p>
    <w:p>
      <w:pPr>
        <w:pStyle w:val="Heading2"/>
        <w:spacing w:after="120" w:before="240"/>
      </w:pPr>
      <w:r>
        <w:rPr>
          <w:rFonts w:ascii="Arial" w:cs="Arial" w:eastAsia="Arial" w:hAnsi="Arial"/>
          <w:b/>
          <w:bCs/>
          <w:color w:val="1B5C9A"/>
          <w:sz w:val="26"/>
          <w:szCs w:val="26"/>
        </w:rPr>
        <w:t xml:space="preserve">What Is a Community Solar Project?</w:t>
      </w:r>
    </w:p>
    <w:p>
      <w:pPr>
        <w:spacing w:after="120" w:before="60"/>
        <w:jc w:val="left"/>
      </w:pPr>
      <w:r>
        <w:rPr>
          <w:rFonts w:ascii="Arial" w:cs="Arial" w:eastAsia="Arial" w:hAnsi="Arial"/>
          <w:b w:val="false"/>
          <w:bCs w:val="false"/>
          <w:i w:val="false"/>
          <w:iCs w:val="false"/>
          <w:color w:val="1C1C1A"/>
          <w:sz w:val="22"/>
          <w:szCs w:val="22"/>
        </w:rPr>
        <w:t xml:space="preserve">A community solar project is a shared solar array that multiple subscribers draw power from without needing rooftop installations. Members receive a bill credit proportional to their share of the array's generation. HAC-ES can develop and own this array — rather than just subscribing to EWEB's existing program — capturing the full economic value of the energy generated.</w:t>
      </w:r>
    </w:p>
    <w:p>
      <w:pPr>
        <w:spacing w:after="0" w:before="80"/>
      </w:pPr>
      <w:r>
        <w:t xml:space="preserve"/>
      </w:r>
    </w:p>
    <w:p>
      <w:pPr>
        <w:spacing w:after="120" w:before="60"/>
        <w:jc w:val="left"/>
      </w:pPr>
      <w:r>
        <w:rPr>
          <w:rFonts w:ascii="Arial" w:cs="Arial" w:eastAsia="Arial" w:hAnsi="Arial"/>
          <w:b w:val="false"/>
          <w:bCs w:val="false"/>
          <w:i w:val="false"/>
          <w:iCs w:val="false"/>
          <w:color w:val="1C1C1A"/>
          <w:sz w:val="22"/>
          <w:szCs w:val="22"/>
        </w:rPr>
        <w:t xml:space="preserve">Oregon's Community Solar Program (administered by EWEB and PGE) allows third-party project developers to sell subscription credits to subscribers. HAC-ES would be both the project developer and the subscription manager — earning a margin between the cost of generation and the credit value delivered to members.</w:t>
      </w:r>
    </w:p>
    <w:p>
      <w:pPr>
        <w:spacing w:after="0" w:before="120"/>
      </w:pPr>
      <w:r>
        <w:t xml:space="preserve"/>
      </w:r>
    </w:p>
    <w:p>
      <w:pPr>
        <w:spacing w:after="80" w:before="180"/>
      </w:pPr>
      <w:r>
        <w:rPr>
          <w:rFonts w:ascii="Arial" w:cs="Arial" w:eastAsia="Arial" w:hAnsi="Arial"/>
          <w:b/>
          <w:bCs/>
          <w:color w:val="0B3D6B"/>
          <w:sz w:val="22"/>
          <w:szCs w:val="22"/>
        </w:rPr>
        <w:t xml:space="preserve">The HAC-ES Community Solar Value Stack</w:t>
      </w:r>
    </w:p>
    <w:p>
      <w:pPr>
        <w:pStyle w:val="ListParagraph"/>
        <w:numPr>
          <w:ilvl w:val="0"/>
          <w:numId w:val="2"/>
        </w:numPr>
        <w:spacing w:after="60" w:before="40"/>
      </w:pPr>
      <w:r>
        <w:rPr>
          <w:rFonts w:ascii="Arial" w:cs="Arial" w:eastAsia="Arial" w:hAnsi="Arial"/>
          <w:sz w:val="22"/>
          <w:szCs w:val="22"/>
        </w:rPr>
        <w:t xml:space="preserve">IRA Investment Tax Credit (direct pay): 30–50% of array cost returned as federal cash immediately after installation.</w:t>
      </w:r>
    </w:p>
    <w:p>
      <w:pPr>
        <w:pStyle w:val="ListParagraph"/>
        <w:numPr>
          <w:ilvl w:val="0"/>
          <w:numId w:val="2"/>
        </w:numPr>
        <w:spacing w:after="60" w:before="40"/>
      </w:pPr>
      <w:r>
        <w:rPr>
          <w:rFonts w:ascii="Arial" w:cs="Arial" w:eastAsia="Arial" w:hAnsi="Arial"/>
          <w:sz w:val="22"/>
          <w:szCs w:val="22"/>
        </w:rPr>
        <w:t xml:space="preserve">EWEB community solar program revenue: EWEB pays the project for each kWh generated. HAC-ES uses this to fund subscription credits for members.</w:t>
      </w:r>
    </w:p>
    <w:p>
      <w:pPr>
        <w:pStyle w:val="ListParagraph"/>
        <w:numPr>
          <w:ilvl w:val="0"/>
          <w:numId w:val="2"/>
        </w:numPr>
        <w:spacing w:after="60" w:before="40"/>
      </w:pPr>
      <w:r>
        <w:rPr>
          <w:rFonts w:ascii="Arial" w:cs="Arial" w:eastAsia="Arial" w:hAnsi="Arial"/>
          <w:sz w:val="22"/>
          <w:szCs w:val="22"/>
        </w:rPr>
        <w:t xml:space="preserve">IRA Solar for All grant (EPA): up to $7M in EPA grants for community solar projects serving low-income subscribers. HAC-ES members are the target population.</w:t>
      </w:r>
    </w:p>
    <w:p>
      <w:pPr>
        <w:pStyle w:val="ListParagraph"/>
        <w:numPr>
          <w:ilvl w:val="0"/>
          <w:numId w:val="2"/>
        </w:numPr>
        <w:spacing w:after="60" w:before="40"/>
      </w:pPr>
      <w:r>
        <w:rPr>
          <w:rFonts w:ascii="Arial" w:cs="Arial" w:eastAsia="Arial" w:hAnsi="Arial"/>
          <w:sz w:val="22"/>
          <w:szCs w:val="22"/>
        </w:rPr>
        <w:t xml:space="preserve">Low-income subscriber premium: subscribers from low-income households receive discounted subscription rates; the difference is covered by the Solar for All grant.</w:t>
      </w:r>
    </w:p>
    <w:p>
      <w:pPr>
        <w:pStyle w:val="ListParagraph"/>
        <w:numPr>
          <w:ilvl w:val="0"/>
          <w:numId w:val="2"/>
        </w:numPr>
        <w:spacing w:after="60" w:before="40"/>
      </w:pPr>
      <w:r>
        <w:rPr>
          <w:rFonts w:ascii="Arial" w:cs="Arial" w:eastAsia="Arial" w:hAnsi="Arial"/>
          <w:sz w:val="22"/>
          <w:szCs w:val="22"/>
        </w:rPr>
        <w:t xml:space="preserve">Non-member subscriptions: any EWEB customer can subscribe to unused capacity, generating subscription revenue for the Human Asset Fund beyond the cost of member credits.</w:t>
      </w:r>
    </w:p>
    <w:p>
      <w:pPr>
        <w:spacing w:after="0" w:before="120"/>
      </w:pPr>
      <w:r>
        <w:t xml:space="preserve"/>
      </w:r>
    </w:p>
    <w:p>
      <w:pPr>
        <w:spacing w:after="80" w:before="180"/>
      </w:pPr>
      <w:r>
        <w:rPr>
          <w:rFonts w:ascii="Arial" w:cs="Arial" w:eastAsia="Arial" w:hAnsi="Arial"/>
          <w:b/>
          <w:bCs/>
          <w:color w:val="0B3D6B"/>
          <w:sz w:val="22"/>
          <w:szCs w:val="22"/>
        </w:rPr>
        <w:t xml:space="preserve">Scale and Siting</w:t>
      </w:r>
    </w:p>
    <w:p>
      <w:pPr>
        <w:spacing w:after="120" w:before="60"/>
        <w:jc w:val="left"/>
      </w:pPr>
      <w:r>
        <w:rPr>
          <w:rFonts w:ascii="Arial" w:cs="Arial" w:eastAsia="Arial" w:hAnsi="Arial"/>
          <w:b w:val="false"/>
          <w:bCs w:val="false"/>
          <w:i w:val="false"/>
          <w:iCs w:val="false"/>
          <w:color w:val="1C1C1A"/>
          <w:sz w:val="22"/>
          <w:szCs w:val="22"/>
        </w:rPr>
        <w:t xml:space="preserve">Oregon's Community Solar Program allows projects up to 2 MW. A 500 kW project would serve approximately 200–400 households at typical subscription sizes. Siting options for Lane County:</w:t>
      </w:r>
    </w:p>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00"/>
        <w:gridCol w:w="3500"/>
        <w:gridCol w:w="4080"/>
      </w:tblGrid>
      <w:tr>
        <w:trPr>
          <w:tblHeader/>
        </w:trPr>
        <w:tc>
          <w:tcPr>
            <w:tcW w:type="dxa" w:w="25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Site Type</w:t>
            </w:r>
          </w:p>
        </w:tc>
        <w:tc>
          <w:tcPr>
            <w:tcW w:type="dxa" w:w="35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Example</w:t>
            </w:r>
          </w:p>
        </w:tc>
        <w:tc>
          <w:tcPr>
            <w:tcW w:type="dxa" w:w="40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Pros / Cons</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CLT-owned land</w:t>
            </w:r>
          </w:p>
        </w:tc>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HAC-ES rural CLT parcels</w:t>
            </w:r>
          </w:p>
        </w:tc>
        <w:tc>
          <w:tcPr>
            <w:tcW w:type="dxa" w:w="4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Full control; zero land cost; requires rural acquisition first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Org Member rooftops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SVdP warehouse, LCC facilities</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No land cost; requires rooftop lease agreement; EWEB approval</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Lane County land bank sites</w:t>
            </w:r>
          </w:p>
        </w:tc>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Underutilized county parcels</w:t>
            </w:r>
          </w:p>
        </w:tc>
        <w:tc>
          <w:tcPr>
            <w:tcW w:type="dxa" w:w="4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Low-cost or donated land; strong government partnership signal</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Brownfield sites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Former industrial land</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Federal brownfield remediation grants stack with IRA; tax incentives</w:t>
            </w:r>
          </w:p>
        </w:tc>
      </w:tr>
    </w:tbl>
    <w:p>
      <w:pPr>
        <w:spacing w:after="0" w:before="120"/>
      </w:pPr>
      <w:r>
        <w:t xml:space="preserve"/>
      </w:r>
    </w:p>
    <w:p>
      <w:pPr>
        <w:spacing w:after="80" w:before="180"/>
      </w:pPr>
      <w:r>
        <w:rPr>
          <w:rFonts w:ascii="Arial" w:cs="Arial" w:eastAsia="Arial" w:hAnsi="Arial"/>
          <w:b/>
          <w:bCs/>
          <w:color w:val="0B3D6B"/>
          <w:sz w:val="22"/>
          <w:szCs w:val="22"/>
        </w:rPr>
        <w:t xml:space="preserve">Phase 3 Financing Path</w:t>
      </w:r>
    </w:p>
    <w:p>
      <w:pPr>
        <w:pStyle w:val="ListParagraph"/>
        <w:numPr>
          <w:ilvl w:val="0"/>
          <w:numId w:val="2"/>
        </w:numPr>
        <w:spacing w:after="60" w:before="40"/>
      </w:pPr>
      <w:r>
        <w:rPr>
          <w:rFonts w:ascii="Arial" w:cs="Arial" w:eastAsia="Arial" w:hAnsi="Arial"/>
          <w:sz w:val="22"/>
          <w:szCs w:val="22"/>
        </w:rPr>
        <w:t xml:space="preserve">Year 3: Secure EPA Solar for All grant ($1M–$3M). Use to fund array development and low-income subscriber subsidies.</w:t>
      </w:r>
    </w:p>
    <w:p>
      <w:pPr>
        <w:pStyle w:val="ListParagraph"/>
        <w:numPr>
          <w:ilvl w:val="0"/>
          <w:numId w:val="2"/>
        </w:numPr>
        <w:spacing w:after="60" w:before="40"/>
      </w:pPr>
      <w:r>
        <w:rPr>
          <w:rFonts w:ascii="Arial" w:cs="Arial" w:eastAsia="Arial" w:hAnsi="Arial"/>
          <w:sz w:val="22"/>
          <w:szCs w:val="22"/>
        </w:rPr>
        <w:t xml:space="preserve">Engage Oregon CDFI partner (Craft3, Oregon Cooperative Finance) for construction bridge loan.</w:t>
      </w:r>
    </w:p>
    <w:p>
      <w:pPr>
        <w:pStyle w:val="ListParagraph"/>
        <w:numPr>
          <w:ilvl w:val="0"/>
          <w:numId w:val="2"/>
        </w:numPr>
        <w:spacing w:after="60" w:before="40"/>
      </w:pPr>
      <w:r>
        <w:rPr>
          <w:rFonts w:ascii="Arial" w:cs="Arial" w:eastAsia="Arial" w:hAnsi="Arial"/>
          <w:sz w:val="22"/>
          <w:szCs w:val="22"/>
        </w:rPr>
        <w:t xml:space="preserve">Post-installation: file for IRA Section 6417 direct pay. Receive 30–50% of installation cost as federal cash. Use to repay construction bridge.</w:t>
      </w:r>
    </w:p>
    <w:p>
      <w:pPr>
        <w:pStyle w:val="ListParagraph"/>
        <w:numPr>
          <w:ilvl w:val="0"/>
          <w:numId w:val="2"/>
        </w:numPr>
        <w:spacing w:after="60" w:before="40"/>
      </w:pPr>
      <w:r>
        <w:rPr>
          <w:rFonts w:ascii="Arial" w:cs="Arial" w:eastAsia="Arial" w:hAnsi="Arial"/>
          <w:sz w:val="22"/>
          <w:szCs w:val="22"/>
        </w:rPr>
        <w:t xml:space="preserve">EWEB program enrollment: HAIS automates member subscription enrollment and monitors generation credits monthly.</w:t>
      </w:r>
    </w:p>
    <w:p>
      <w:pPr>
        <w:pStyle w:val="ListParagraph"/>
        <w:numPr>
          <w:ilvl w:val="0"/>
          <w:numId w:val="2"/>
        </w:numPr>
        <w:spacing w:after="60" w:before="40"/>
      </w:pPr>
      <w:r>
        <w:rPr>
          <w:rFonts w:ascii="Arial" w:cs="Arial" w:eastAsia="Arial" w:hAnsi="Arial"/>
          <w:sz w:val="22"/>
          <w:szCs w:val="22"/>
        </w:rPr>
        <w:t xml:space="preserve">Year 5: Array cash-flow positive. Net generation revenue flows to Human Asset Fund annually.</w:t>
      </w:r>
    </w:p>
    <w:p>
      <w:pPr>
        <w:spacing w:after="0" w:before="200"/>
      </w:pPr>
      <w:r>
        <w:t xml:space="preserve"/>
      </w:r>
    </w:p>
    <w:p>
      <w:pPr>
        <w:pStyle w:val="Heading1"/>
        <w:spacing w:after="160" w:before="320"/>
      </w:pPr>
      <w:r>
        <w:rPr>
          <w:rFonts w:ascii="Arial" w:cs="Arial" w:eastAsia="Arial" w:hAnsi="Arial"/>
          <w:b/>
          <w:bCs/>
          <w:color w:val="0B3D6B"/>
          <w:sz w:val="34"/>
          <w:szCs w:val="34"/>
        </w:rPr>
        <w:t xml:space="preserve">PART VI — MODEL 4: WIND ENERGY</w:t>
      </w:r>
    </w:p>
    <w:p>
      <w:pPr>
        <w:pBdr>
          <w:bottom w:val="single" w:color="2E7D9A" w:sz="6" w:space="1"/>
        </w:pBdr>
        <w:spacing w:after="0" w:before="0"/>
      </w:pPr>
      <w:r>
        <w:t xml:space="preserve"/>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2E7D9A" w:val="clear"/>
            <w:tcMar>
              <w:top w:type="dxa" w:w="220"/>
              <w:left w:type="dxa" w:w="400"/>
              <w:bottom w:type="dxa" w:w="220"/>
              <w:right w:type="dxa" w:w="400"/>
            </w:tcMar>
          </w:tcPr>
          <w:p>
            <w:pPr>
              <w:spacing w:after="60" w:before="0"/>
            </w:pPr>
            <w:r>
              <w:rPr>
                <w:rFonts w:ascii="Arial" w:cs="Arial" w:eastAsia="Arial" w:hAnsi="Arial"/>
                <w:b/>
                <w:bCs/>
                <w:color w:val="FFFFFF"/>
                <w:sz w:val="32"/>
                <w:szCs w:val="32"/>
              </w:rPr>
              <w:t xml:space="preserve">💨  Small-Scale Wind on Rural CLT Land</w:t>
            </w:r>
          </w:p>
          <w:p>
            <w:pPr>
              <w:spacing w:after="0" w:before="0"/>
            </w:pPr>
            <w:r>
              <w:rPr>
                <w:rFonts w:ascii="Arial" w:cs="Arial" w:eastAsia="Arial" w:hAnsi="Arial"/>
                <w:color w:val="CCDDEE"/>
                <w:sz w:val="21"/>
                <w:szCs w:val="21"/>
              </w:rPr>
              <w:t xml:space="preserve">Rural Lane County has wind resource. CLT farmland has space. IRA Production Tax Credits pay per kWh.</w:t>
            </w:r>
          </w:p>
        </w:tc>
      </w:tr>
    </w:tbl>
    <w:p>
      <w:pPr>
        <w:spacing w:after="0" w:before="120"/>
      </w:pPr>
      <w:r>
        <w:t xml:space="preserve"/>
      </w:r>
    </w:p>
    <w:p>
      <w:pPr>
        <w:pStyle w:val="Heading2"/>
        <w:spacing w:after="120" w:before="240"/>
      </w:pPr>
      <w:r>
        <w:rPr>
          <w:rFonts w:ascii="Arial" w:cs="Arial" w:eastAsia="Arial" w:hAnsi="Arial"/>
          <w:b/>
          <w:bCs/>
          <w:color w:val="2E7D9A"/>
          <w:sz w:val="26"/>
          <w:szCs w:val="26"/>
        </w:rPr>
        <w:t xml:space="preserve">The Wind Opportunity in Lane County</w:t>
      </w:r>
    </w:p>
    <w:p>
      <w:pPr>
        <w:spacing w:after="120" w:before="60"/>
        <w:jc w:val="left"/>
      </w:pPr>
      <w:r>
        <w:rPr>
          <w:rFonts w:ascii="Arial" w:cs="Arial" w:eastAsia="Arial" w:hAnsi="Arial"/>
          <w:b w:val="false"/>
          <w:bCs w:val="false"/>
          <w:i w:val="false"/>
          <w:iCs w:val="false"/>
          <w:color w:val="1C1C1A"/>
          <w:sz w:val="22"/>
          <w:szCs w:val="22"/>
        </w:rPr>
        <w:t xml:space="preserve">Wind energy is more capital-intensive than solar and requires more space — making it unsuitable for urban Eugene-Springfield properties. However, rural Lane County has meaningful wind resources, particularly in the Willamette Valley edges and coastal range foothills. As HAC-ES's Community Land Trust acquires rural properties, wind becomes a viable secondary power source.</w:t>
      </w:r>
    </w:p>
    <w:p>
      <w:pPr>
        <w:spacing w:after="0" w:before="80"/>
      </w:pPr>
      <w:r>
        <w:t xml:space="preserve"/>
      </w:r>
    </w:p>
    <w:p>
      <w:pPr>
        <w:spacing w:after="80" w:before="180"/>
      </w:pPr>
      <w:r>
        <w:rPr>
          <w:rFonts w:ascii="Arial" w:cs="Arial" w:eastAsia="Arial" w:hAnsi="Arial"/>
          <w:b/>
          <w:bCs/>
          <w:color w:val="0B3D6B"/>
          <w:sz w:val="22"/>
          <w:szCs w:val="22"/>
        </w:rPr>
        <w:t xml:space="preserve">When Wind Makes Sense</w:t>
      </w:r>
    </w:p>
    <w:p>
      <w:pPr>
        <w:pStyle w:val="ListParagraph"/>
        <w:numPr>
          <w:ilvl w:val="0"/>
          <w:numId w:val="2"/>
        </w:numPr>
        <w:spacing w:after="60" w:before="40"/>
      </w:pPr>
      <w:r>
        <w:rPr>
          <w:rFonts w:ascii="Arial" w:cs="Arial" w:eastAsia="Arial" w:hAnsi="Arial"/>
          <w:sz w:val="22"/>
          <w:szCs w:val="22"/>
        </w:rPr>
        <w:t xml:space="preserve">Rural CLT parcels of 10+ acres with open exposure and documented wind speed above 6 m/s (NREL wind resource map).</w:t>
      </w:r>
    </w:p>
    <w:p>
      <w:pPr>
        <w:pStyle w:val="ListParagraph"/>
        <w:numPr>
          <w:ilvl w:val="0"/>
          <w:numId w:val="2"/>
        </w:numPr>
        <w:spacing w:after="60" w:before="40"/>
      </w:pPr>
      <w:r>
        <w:rPr>
          <w:rFonts w:ascii="Arial" w:cs="Arial" w:eastAsia="Arial" w:hAnsi="Arial"/>
          <w:sz w:val="22"/>
          <w:szCs w:val="22"/>
        </w:rPr>
        <w:t xml:space="preserve">Agricultural land where small turbines (10–100 kW) can co-exist with farming or conservation use.</w:t>
      </w:r>
    </w:p>
    <w:p>
      <w:pPr>
        <w:pStyle w:val="ListParagraph"/>
        <w:numPr>
          <w:ilvl w:val="0"/>
          <w:numId w:val="2"/>
        </w:numPr>
        <w:spacing w:after="60" w:before="40"/>
      </w:pPr>
      <w:r>
        <w:rPr>
          <w:rFonts w:ascii="Arial" w:cs="Arial" w:eastAsia="Arial" w:hAnsi="Arial"/>
          <w:sz w:val="22"/>
          <w:szCs w:val="22"/>
        </w:rPr>
        <w:t xml:space="preserve">Properties where solar shade is problematic (north-facing slopes, heavy tree cover) but wind resource is good.</w:t>
      </w:r>
    </w:p>
    <w:p>
      <w:pPr>
        <w:pStyle w:val="ListParagraph"/>
        <w:numPr>
          <w:ilvl w:val="0"/>
          <w:numId w:val="2"/>
        </w:numPr>
        <w:spacing w:after="60" w:before="40"/>
      </w:pPr>
      <w:r>
        <w:rPr>
          <w:rFonts w:ascii="Arial" w:cs="Arial" w:eastAsia="Arial" w:hAnsi="Arial"/>
          <w:sz w:val="22"/>
          <w:szCs w:val="22"/>
        </w:rPr>
        <w:t xml:space="preserve">Sites near existing EWEB or Pacific Power distribution infrastructure for cost-effective grid interconnection.</w:t>
      </w:r>
    </w:p>
    <w:p>
      <w:pPr>
        <w:spacing w:after="0" w:before="80"/>
      </w:pPr>
      <w:r>
        <w:t xml:space="preserve"/>
      </w:r>
    </w:p>
    <w:p>
      <w:pPr>
        <w:spacing w:after="80" w:before="180"/>
      </w:pPr>
      <w:r>
        <w:rPr>
          <w:rFonts w:ascii="Arial" w:cs="Arial" w:eastAsia="Arial" w:hAnsi="Arial"/>
          <w:b/>
          <w:bCs/>
          <w:color w:val="0B3D6B"/>
          <w:sz w:val="22"/>
          <w:szCs w:val="22"/>
        </w:rPr>
        <w:t xml:space="preserve">IRA Production Tax Credit for Wind</w:t>
      </w:r>
    </w:p>
    <w:p>
      <w:pPr>
        <w:spacing w:after="120" w:before="60"/>
        <w:jc w:val="left"/>
      </w:pPr>
      <w:r>
        <w:rPr>
          <w:rFonts w:ascii="Arial" w:cs="Arial" w:eastAsia="Arial" w:hAnsi="Arial"/>
          <w:b w:val="false"/>
          <w:bCs w:val="false"/>
          <w:i w:val="false"/>
          <w:iCs w:val="false"/>
          <w:color w:val="1C1C1A"/>
          <w:sz w:val="22"/>
          <w:szCs w:val="22"/>
        </w:rPr>
        <w:t xml:space="preserve">The IRA Production Tax Credit (PTC) for small wind installations pays approximately 2.75 cents per kWh generated for 10 years, received as direct cash under Section 6417 for tax-exempt entities. On a 50 kW turbine generating 100,000 kWh/year, this is $2,750/year in direct federal cash for 10 years — plus the electricity revenue itself.</w:t>
      </w:r>
    </w:p>
    <w:p>
      <w:pPr>
        <w:spacing w:after="80" w:before="180"/>
      </w:pPr>
      <w:r>
        <w:rPr>
          <w:rFonts w:ascii="Arial" w:cs="Arial" w:eastAsia="Arial" w:hAnsi="Arial"/>
          <w:b/>
          <w:bCs/>
          <w:color w:val="0B3D6B"/>
          <w:sz w:val="22"/>
          <w:szCs w:val="22"/>
        </w:rPr>
        <w:t xml:space="preserve">Wind Turbine Technology Options</w:t>
      </w:r>
    </w:p>
    <w:p>
      <w:pPr>
        <w:spacing w:after="120" w:before="60"/>
        <w:jc w:val="left"/>
      </w:pPr>
      <w:r>
        <w:rPr>
          <w:rFonts w:ascii="Arial" w:cs="Arial" w:eastAsia="Arial" w:hAnsi="Arial"/>
          <w:b w:val="false"/>
          <w:bCs w:val="false"/>
          <w:i w:val="false"/>
          <w:iCs w:val="false"/>
          <w:color w:val="1C1C1A"/>
          <w:sz w:val="22"/>
          <w:szCs w:val="22"/>
        </w:rPr>
        <w:t xml:space="preserve">Two turbine architectures are relevant at HAC-ES's scale, both classified as 'small' or 'distributed' wind (rated capacity up to 100 kW). Each suits a different rural CLT site profile:</w:t>
      </w:r>
    </w:p>
    <w:p>
      <w:pPr>
        <w:pStyle w:val="ListParagraph"/>
        <w:numPr>
          <w:ilvl w:val="0"/>
          <w:numId w:val="2"/>
        </w:numPr>
        <w:spacing w:after="60" w:before="40"/>
      </w:pPr>
      <w:r>
        <w:rPr>
          <w:rFonts w:ascii="Arial" w:cs="Arial" w:eastAsia="Arial" w:hAnsi="Arial"/>
          <w:b/>
          <w:bCs/>
          <w:sz w:val="22"/>
          <w:szCs w:val="22"/>
        </w:rPr>
        <w:t xml:space="preserve">Horizontal-axis turbines (HAWT) — </w:t>
      </w:r>
      <w:r>
        <w:rPr>
          <w:rFonts w:ascii="Arial" w:cs="Arial" w:eastAsia="Arial" w:hAnsi="Arial"/>
          <w:sz w:val="22"/>
          <w:szCs w:val="22"/>
        </w:rPr>
        <w:t xml:space="preserve">the conventional propeller-on-a-tower design and the most mature, lowest-cost-per-kWh option. Best for open CLT farmland with a steady prevailing wind, but they need a yaw mechanism to track wind direction and a tall tower (roughly 24–43 m / 80–140 ft) to reach clean, non-turbulent air.</w:t>
      </w:r>
    </w:p>
    <w:p>
      <w:pPr>
        <w:pStyle w:val="ListParagraph"/>
        <w:numPr>
          <w:ilvl w:val="0"/>
          <w:numId w:val="2"/>
        </w:numPr>
        <w:spacing w:after="60" w:before="40"/>
      </w:pPr>
      <w:r>
        <w:rPr>
          <w:rFonts w:ascii="Arial" w:cs="Arial" w:eastAsia="Arial" w:hAnsi="Arial"/>
          <w:b/>
          <w:bCs/>
          <w:sz w:val="22"/>
          <w:szCs w:val="22"/>
        </w:rPr>
        <w:t xml:space="preserve">Vertical-axis turbines (VAWT) — </w:t>
      </w:r>
      <w:r>
        <w:rPr>
          <w:rFonts w:ascii="Arial" w:cs="Arial" w:eastAsia="Arial" w:hAnsi="Arial"/>
          <w:sz w:val="22"/>
          <w:szCs w:val="22"/>
        </w:rPr>
        <w:t xml:space="preserve">omni-directional, so they capture shifting, gusty wind without reorienting, run quieter, and tolerate turbulence near buildings and treelines. They cost more per kWh and generate less for a given footprint, but suit smaller or wind-variable parcels where a tall HAWT tower is impractical. This is the fastest-growing small-wind segment.</w:t>
      </w:r>
    </w:p>
    <w:p>
      <w:pPr>
        <w:pStyle w:val="ListParagraph"/>
        <w:numPr>
          <w:ilvl w:val="0"/>
          <w:numId w:val="2"/>
        </w:numPr>
        <w:spacing w:after="60" w:before="40"/>
      </w:pPr>
      <w:r>
        <w:rPr>
          <w:rFonts w:ascii="Arial" w:cs="Arial" w:eastAsia="Arial" w:hAnsi="Arial"/>
          <w:b/>
          <w:bCs/>
          <w:sz w:val="22"/>
          <w:szCs w:val="22"/>
        </w:rPr>
        <w:t xml:space="preserve">Hybrid solar-plus-wind microgrids — </w:t>
      </w:r>
      <w:r>
        <w:rPr>
          <w:rFonts w:ascii="Arial" w:cs="Arial" w:eastAsia="Arial" w:hAnsi="Arial"/>
          <w:sz w:val="22"/>
          <w:szCs w:val="22"/>
        </w:rPr>
        <w:t xml:space="preserve">pairing a small turbine with the CLT property's solar array and battery storage. Wind often peaks in winter and overnight, when solar dips — smoothing year-round output and improving the property's energy resilience.</w:t>
      </w:r>
    </w:p>
    <w:p>
      <w:pPr>
        <w:spacing w:after="80" w:before="180"/>
      </w:pPr>
      <w:r>
        <w:rPr>
          <w:rFonts w:ascii="Arial" w:cs="Arial" w:eastAsia="Arial" w:hAnsi="Arial"/>
          <w:b/>
          <w:bCs/>
          <w:color w:val="0B3D6B"/>
          <w:sz w:val="22"/>
          <w:szCs w:val="22"/>
        </w:rPr>
        <w:t xml:space="preserve">Choosing and Siting the Technology</w:t>
      </w:r>
    </w:p>
    <w:p>
      <w:pPr>
        <w:spacing w:after="120" w:before="60"/>
        <w:jc w:val="left"/>
      </w:pPr>
      <w:r>
        <w:rPr>
          <w:rFonts w:ascii="Arial" w:cs="Arial" w:eastAsia="Arial" w:hAnsi="Arial"/>
          <w:b w:val="false"/>
          <w:bCs w:val="false"/>
          <w:i w:val="false"/>
          <w:iCs w:val="false"/>
          <w:color w:val="1C1C1A"/>
          <w:sz w:val="22"/>
          <w:szCs w:val="22"/>
        </w:rPr>
        <w:t xml:space="preserve">Wind output is extraordinarily site-sensitive — small differences in wind speed and tower height produce large differences in generation. HAC-ES should treat technology selection as a data exercise before committing capital:</w:t>
      </w:r>
    </w:p>
    <w:p>
      <w:pPr>
        <w:pStyle w:val="ListParagraph"/>
        <w:numPr>
          <w:ilvl w:val="0"/>
          <w:numId w:val="2"/>
        </w:numPr>
        <w:spacing w:after="60" w:before="40"/>
      </w:pPr>
      <w:r>
        <w:rPr>
          <w:rFonts w:ascii="Arial" w:cs="Arial" w:eastAsia="Arial" w:hAnsi="Arial"/>
          <w:b/>
          <w:bCs/>
          <w:sz w:val="22"/>
          <w:szCs w:val="22"/>
        </w:rPr>
        <w:t xml:space="preserve">Measure first. </w:t>
      </w:r>
      <w:r>
        <w:rPr>
          <w:rFonts w:ascii="Arial" w:cs="Arial" w:eastAsia="Arial" w:hAnsi="Arial"/>
          <w:sz w:val="22"/>
          <w:szCs w:val="22"/>
        </w:rPr>
        <w:t xml:space="preserve">Install an anemometer or a short meteorological (met) tower for 6–12 months, or use the NREL WIND Toolkit, to confirm average wind speed above the 6 m/s threshold. Generation rises with the cube of wind speed, making verification the single highest-value step.</w:t>
      </w:r>
    </w:p>
    <w:p>
      <w:pPr>
        <w:pStyle w:val="ListParagraph"/>
        <w:numPr>
          <w:ilvl w:val="0"/>
          <w:numId w:val="2"/>
        </w:numPr>
        <w:spacing w:after="60" w:before="40"/>
      </w:pPr>
      <w:r>
        <w:rPr>
          <w:rFonts w:ascii="Arial" w:cs="Arial" w:eastAsia="Arial" w:hAnsi="Arial"/>
          <w:b/>
          <w:bCs/>
          <w:sz w:val="22"/>
          <w:szCs w:val="22"/>
        </w:rPr>
        <w:t xml:space="preserve">Size the tower to the resource. </w:t>
      </w:r>
      <w:r>
        <w:rPr>
          <w:rFonts w:ascii="Arial" w:cs="Arial" w:eastAsia="Arial" w:hAnsi="Arial"/>
          <w:sz w:val="22"/>
          <w:szCs w:val="22"/>
        </w:rPr>
        <w:t xml:space="preserve">Hub height usually matters more than turbine model — raising the tower lifts the rotor above ground turbulence into faster wind. Budget the tower as a major line item, not an afterthought.</w:t>
      </w:r>
    </w:p>
    <w:p>
      <w:pPr>
        <w:pStyle w:val="ListParagraph"/>
        <w:numPr>
          <w:ilvl w:val="0"/>
          <w:numId w:val="2"/>
        </w:numPr>
        <w:spacing w:after="60" w:before="40"/>
      </w:pPr>
      <w:r>
        <w:rPr>
          <w:rFonts w:ascii="Arial" w:cs="Arial" w:eastAsia="Arial" w:hAnsi="Arial"/>
          <w:b/>
          <w:bCs/>
          <w:sz w:val="22"/>
          <w:szCs w:val="22"/>
        </w:rPr>
        <w:t xml:space="preserve">Plan for realistic output. </w:t>
      </w:r>
      <w:r>
        <w:rPr>
          <w:rFonts w:ascii="Arial" w:cs="Arial" w:eastAsia="Arial" w:hAnsi="Arial"/>
          <w:sz w:val="22"/>
          <w:szCs w:val="22"/>
        </w:rPr>
        <w:t xml:space="preserve">Small-wind capacity factors average about 17% and typically run 10–25% at good real-world sites, so a 50 kW turbine yields roughly 75,000–110,000 kWh/year. Model revenue on the conservative end.</w:t>
      </w:r>
    </w:p>
    <w:p>
      <w:pPr>
        <w:pStyle w:val="ListParagraph"/>
        <w:numPr>
          <w:ilvl w:val="0"/>
          <w:numId w:val="2"/>
        </w:numPr>
        <w:spacing w:after="60" w:before="40"/>
      </w:pPr>
      <w:r>
        <w:rPr>
          <w:rFonts w:ascii="Arial" w:cs="Arial" w:eastAsia="Arial" w:hAnsi="Arial"/>
          <w:b/>
          <w:bCs/>
          <w:sz w:val="22"/>
          <w:szCs w:val="22"/>
        </w:rPr>
        <w:t xml:space="preserve">Budget current technology costs. </w:t>
      </w:r>
      <w:r>
        <w:rPr>
          <w:rFonts w:ascii="Arial" w:cs="Arial" w:eastAsia="Arial" w:hAnsi="Arial"/>
          <w:sz w:val="22"/>
          <w:szCs w:val="22"/>
        </w:rPr>
        <w:t xml:space="preserve">Installed small-wind costs run roughly $3,000–$8,000 per kW depending on turbine type, tower height, and siting. The IRA direct-pay PTC (per kWh) and the ITC alternative (share of cost) both offset this for HAC-ES as a tax-exempt owner.</w:t>
      </w:r>
    </w:p>
    <w:p>
      <w:pPr>
        <w:pStyle w:val="ListParagraph"/>
        <w:numPr>
          <w:ilvl w:val="0"/>
          <w:numId w:val="2"/>
        </w:numPr>
        <w:spacing w:after="60" w:before="40"/>
      </w:pPr>
      <w:r>
        <w:rPr>
          <w:rFonts w:ascii="Arial" w:cs="Arial" w:eastAsia="Arial" w:hAnsi="Arial"/>
          <w:b/>
          <w:bCs/>
          <w:sz w:val="22"/>
          <w:szCs w:val="22"/>
        </w:rPr>
        <w:t xml:space="preserve">Address permitting and neighbors early. </w:t>
      </w:r>
      <w:r>
        <w:rPr>
          <w:rFonts w:ascii="Arial" w:cs="Arial" w:eastAsia="Arial" w:hAnsi="Arial"/>
          <w:sz w:val="22"/>
          <w:szCs w:val="22"/>
        </w:rPr>
        <w:t xml:space="preserve">Confirm Lane County rural zoning, setback, and height limits, and assess sound, shadow flicker, and avian/wildlife impacts during siting — far easier on large, open agricultural parcels than near property lines.</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2E7D9A" w:sz="4"/>
              <w:left w:val="single" w:color="2E7D9A" w:sz="4"/>
              <w:bottom w:val="single" w:color="2E7D9A" w:sz="4"/>
              <w:right w:val="single" w:color="2E7D9A" w:sz="4"/>
            </w:tcBorders>
            <w:shd w:fill="E8F4F8" w:val="clear"/>
            <w:tcMar>
              <w:top w:type="dxa" w:w="120"/>
              <w:left w:type="dxa" w:w="200"/>
              <w:bottom w:type="dxa" w:w="120"/>
              <w:right w:type="dxa" w:w="200"/>
            </w:tcMar>
          </w:tcPr>
          <w:p>
            <w:pPr>
              <w:spacing w:after="0" w:before="0"/>
            </w:pPr>
            <w:r>
              <w:rPr>
                <w:rFonts w:ascii="Arial" w:cs="Arial" w:eastAsia="Arial" w:hAnsi="Arial"/>
                <w:color w:val="1C1C1A"/>
                <w:sz w:val="22"/>
                <w:szCs w:val="22"/>
              </w:rPr>
              <w:t xml:space="preserve">Wind energy is a Phase 4+ opportunity for HAC-ES. The correct sequence is: establish the CLT, acquire rural properties where wind resource exists, then evaluate wind installation as part of each property's energy plan. Do not acquire rural property specifically for wind — let the CLT's affordable housing and conservation mission drive acquisition, and evaluate wind as an income layer on top.</w:t>
            </w:r>
          </w:p>
        </w:tc>
      </w:tr>
    </w:tbl>
    <w:p>
      <w:pPr>
        <w:spacing w:after="0" w:before="200"/>
      </w:pPr>
      <w:r>
        <w:t xml:space="preserve"/>
      </w:r>
    </w:p>
    <w:p>
      <w:r>
        <w:br w:type="page"/>
      </w:r>
    </w:p>
    <w:p>
      <w:pPr>
        <w:pStyle w:val="Heading1"/>
        <w:spacing w:after="160" w:before="320"/>
      </w:pPr>
      <w:r>
        <w:rPr>
          <w:rFonts w:ascii="Arial" w:cs="Arial" w:eastAsia="Arial" w:hAnsi="Arial"/>
          <w:b/>
          <w:bCs/>
          <w:color w:val="0B3D6B"/>
          <w:sz w:val="34"/>
          <w:szCs w:val="34"/>
        </w:rPr>
        <w:t xml:space="preserve">PART VII — LEGAL STRUCTURE: HOW HAC-ES OWNS ENERGY ASSETS</w:t>
      </w:r>
    </w:p>
    <w:p>
      <w:pPr>
        <w:pBdr>
          <w:bottom w:val="single" w:color="0B3D6B" w:sz="6" w:space="1"/>
        </w:pBdr>
        <w:spacing w:after="0" w:before="0"/>
      </w:pPr>
      <w:r>
        <w:t xml:space="preserve"/>
      </w:r>
    </w:p>
    <w:p>
      <w:pPr>
        <w:spacing w:after="0" w:before="100"/>
      </w:pPr>
      <w:r>
        <w:t xml:space="preserve"/>
      </w:r>
    </w:p>
    <w:p>
      <w:pPr>
        <w:pStyle w:val="Heading2"/>
        <w:spacing w:after="120" w:before="240"/>
      </w:pPr>
      <w:r>
        <w:rPr>
          <w:rFonts w:ascii="Arial" w:cs="Arial" w:eastAsia="Arial" w:hAnsi="Arial"/>
          <w:b/>
          <w:bCs/>
          <w:color w:val="074D3A"/>
          <w:sz w:val="26"/>
          <w:szCs w:val="26"/>
        </w:rPr>
        <w:t xml:space="preserve">Can a 501(c)(3)/cooperative hybrid Nonprofit Cooperative Own Revenue-Generating Energy Assets?</w:t>
      </w:r>
    </w:p>
    <w:p>
      <w:pPr>
        <w:spacing w:after="120" w:before="60"/>
        <w:jc w:val="left"/>
      </w:pPr>
      <w:r>
        <w:rPr>
          <w:rFonts w:ascii="Arial" w:cs="Arial" w:eastAsia="Arial" w:hAnsi="Arial"/>
          <w:b w:val="false"/>
          <w:bCs w:val="false"/>
          <w:i w:val="false"/>
          <w:iCs w:val="false"/>
          <w:color w:val="1C1C1A"/>
          <w:sz w:val="22"/>
          <w:szCs w:val="22"/>
        </w:rPr>
        <w:t xml:space="preserve">Yes — with important structural considerations. A 501(c)(3)/cooperative hybrid social welfare organization may engage in revenue-generating activities, but those activities must further its exempt purpose and must not cause 'private inurement' (enrichment of private individuals). Green energy that reduces member utility bills, funds community programs, and advances climate goals clearly furthers HAC-ES's social welfare mission.</w:t>
      </w:r>
    </w:p>
    <w:p>
      <w:pPr>
        <w:spacing w:after="0" w:before="80"/>
      </w:pPr>
      <w:r>
        <w:t xml:space="preserve"/>
      </w:r>
    </w:p>
    <w:p>
      <w:pPr>
        <w:spacing w:after="120" w:before="60"/>
        <w:jc w:val="left"/>
      </w:pPr>
      <w:r>
        <w:rPr>
          <w:rFonts w:ascii="Arial" w:cs="Arial" w:eastAsia="Arial" w:hAnsi="Arial"/>
          <w:b w:val="false"/>
          <w:bCs w:val="false"/>
          <w:i w:val="false"/>
          <w:iCs w:val="false"/>
          <w:color w:val="1C1C1A"/>
          <w:sz w:val="22"/>
          <w:szCs w:val="22"/>
        </w:rPr>
        <w:t xml:space="preserve">The key structural questions and their answers:</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800"/>
        <w:gridCol w:w="6280"/>
      </w:tblGrid>
      <w:tr>
        <w:trPr>
          <w:tblHeader/>
        </w:trPr>
        <w:tc>
          <w:tcPr>
            <w:tcW w:type="dxa" w:w="38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Legal Question</w:t>
            </w:r>
          </w:p>
        </w:tc>
        <w:tc>
          <w:tcPr>
            <w:tcW w:type="dxa" w:w="62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HAC-ES Answer</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Can HAC-ES own solar panels directly?</w:t>
            </w:r>
          </w:p>
        </w:tc>
        <w:tc>
          <w:tcPr>
            <w:tcW w:type="dxa" w:w="62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Yes. As a nonprofit cooperative, HAC-ES can own equipment as part of its mission activities. IRA direct pay confirms this — Section 6417 explicitly applies to 501(c)(3)/cooperative hybrid organizations.</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What about Unrelated Business Income Tax (UBIT)?</w:t>
            </w:r>
          </w:p>
        </w:tc>
        <w:tc>
          <w:tcPr>
            <w:tcW w:type="dxa" w:w="6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Electricity sales to members as part of member services are related to the exempt purpose (lowering member energy burden). Sales to non-members may be subject to UBIT — structure carefully with nonprofit tax counsel.</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Should energy assets be in a subsidiary?</w:t>
            </w:r>
          </w:p>
        </w:tc>
        <w:tc>
          <w:tcPr>
            <w:tcW w:type="dxa" w:w="62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For the worker cooperative: yes — a separate LLC owned partly by member-workers and partly by HAC-ES. For owned solar on CLT properties: no — HAC-ES CLT owns the panels directly as part of property management.</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Can HAC-ES receive IRA direct pay?</w:t>
            </w:r>
          </w:p>
        </w:tc>
        <w:tc>
          <w:tcPr>
            <w:tcW w:type="dxa" w:w="6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Yes. Section 6417 explicitly names 501(c)(3)/cooperative hybrid organizations as eligible entities for elective payment. HAC-ES must be the owner or lessee of the energy property.</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What about the 501(c)(3) charitable vehicle?</w:t>
            </w:r>
          </w:p>
        </w:tc>
        <w:tc>
          <w:tcPr>
            <w:tcW w:type="dxa" w:w="62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For maximum IRA benefit, consider placing solar assets in the HAC Global Foundation (501(c)(3)) if that entity is established. 501(c)(3) also qualifies for direct pay and may have stronger public charity standing for grant purposes.</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Oregon PUC considerations?</w:t>
            </w:r>
          </w:p>
        </w:tc>
        <w:tc>
          <w:tcPr>
            <w:tcW w:type="dxa" w:w="6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Selling electricity to the grid through EWEB net metering does not trigger Oregon PUC utility regulation for small-scale systems under 10 MW. The community solar developer role may require registration — consult Oregon PUC.</w:t>
            </w:r>
          </w:p>
        </w:tc>
      </w:tr>
    </w:tbl>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8590A" w:sz="4"/>
              <w:left w:val="single" w:color="B8590A" w:sz="24"/>
              <w:bottom w:val="single" w:color="B8590A" w:sz="4"/>
              <w:right w:val="none" w:color="FFFFFF" w:sz="0"/>
            </w:tcBorders>
            <w:shd w:fill="FDF0E3" w:val="clear"/>
            <w:tcMar>
              <w:top w:type="dxa" w:w="120"/>
              <w:left w:type="dxa" w:w="240"/>
              <w:bottom w:type="dxa" w:w="120"/>
              <w:right w:type="dxa" w:w="240"/>
            </w:tcMar>
          </w:tcPr>
          <w:p>
            <w:pPr>
              <w:spacing w:after="0" w:before="0"/>
            </w:pPr>
            <w:r>
              <w:rPr>
                <w:rFonts w:ascii="Arial" w:cs="Arial" w:eastAsia="Arial" w:hAnsi="Arial"/>
                <w:i/>
                <w:iCs/>
                <w:color w:val="B8590A"/>
                <w:sz w:val="22"/>
                <w:szCs w:val="22"/>
              </w:rPr>
              <w:t xml:space="preserve">Get Oregon nonprofit energy counsel before the first installation. The legal structure is manageable, but the details matter — particularly the UBIT analysis for non-member electricity sales and the PUC registration for community solar development. Budget $3,000–$7,500 for this legal work in Phase 2.</w:t>
            </w:r>
          </w:p>
        </w:tc>
      </w:tr>
    </w:tbl>
    <w:p>
      <w:pPr>
        <w:spacing w:after="0" w:before="200"/>
      </w:pPr>
      <w:r>
        <w:t xml:space="preserve"/>
      </w:r>
    </w:p>
    <w:p>
      <w:pPr>
        <w:pStyle w:val="Heading1"/>
        <w:spacing w:after="160" w:before="320"/>
      </w:pPr>
      <w:r>
        <w:rPr>
          <w:rFonts w:ascii="Arial" w:cs="Arial" w:eastAsia="Arial" w:hAnsi="Arial"/>
          <w:b/>
          <w:bCs/>
          <w:color w:val="0B3D6B"/>
          <w:sz w:val="34"/>
          <w:szCs w:val="34"/>
        </w:rPr>
        <w:t xml:space="preserve">PART VIII — INTEGRATION WITH EWEB AND THE LANE COUNTY ECOSYSTEM</w:t>
      </w:r>
    </w:p>
    <w:p>
      <w:pPr>
        <w:pBdr>
          <w:bottom w:val="single" w:color="074D3A" w:sz="6" w:space="1"/>
        </w:pBdr>
        <w:spacing w:after="0" w:before="0"/>
      </w:pPr>
      <w:r>
        <w:t xml:space="preserve"/>
      </w:r>
    </w:p>
    <w:p>
      <w:pPr>
        <w:spacing w:after="0" w:before="100"/>
      </w:pPr>
      <w:r>
        <w:t xml:space="preserve"/>
      </w:r>
    </w:p>
    <w:p>
      <w:pPr>
        <w:pStyle w:val="Heading2"/>
        <w:spacing w:after="120" w:before="240"/>
      </w:pPr>
      <w:r>
        <w:rPr>
          <w:rFonts w:ascii="Arial" w:cs="Arial" w:eastAsia="Arial" w:hAnsi="Arial"/>
          <w:b/>
          <w:bCs/>
          <w:color w:val="074D3A"/>
          <w:sz w:val="26"/>
          <w:szCs w:val="26"/>
        </w:rPr>
        <w:t xml:space="preserve">EWEB as Partner, Not Just Utility</w:t>
      </w:r>
    </w:p>
    <w:p>
      <w:pPr>
        <w:spacing w:after="120" w:before="60"/>
        <w:jc w:val="left"/>
      </w:pPr>
      <w:r>
        <w:rPr>
          <w:rFonts w:ascii="Arial" w:cs="Arial" w:eastAsia="Arial" w:hAnsi="Arial"/>
          <w:b w:val="false"/>
          <w:bCs w:val="false"/>
          <w:i w:val="false"/>
          <w:iCs w:val="false"/>
          <w:color w:val="1C1C1A"/>
          <w:sz w:val="22"/>
          <w:szCs w:val="22"/>
        </w:rPr>
        <w:t xml:space="preserve">EWEB is Eugene's publicly-owned utility, governed by an elected Board of Commissioners — itself a cooperative institution. EWEB already runs the most comprehensive low-income energy efficiency programs in the region and is actively seeking community partners to help reach the households its programs currently miss. HAC-ES and EWEB share a mission. The relationship should be formalized as an Organizational Member partnership from Day 1.</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rPr>
          <w:tblHeader/>
        </w:trPr>
        <w:tc>
          <w:tcPr>
            <w:tcW w:type="dxa" w:w="32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EWEB Program</w:t>
            </w:r>
          </w:p>
        </w:tc>
        <w:tc>
          <w:tcPr>
            <w:tcW w:type="dxa" w:w="68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HAC-ES Integration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Solar Electric Incentive ($0.20–$0.50/W)</w:t>
            </w:r>
          </w:p>
        </w:tc>
        <w:tc>
          <w:tcPr>
            <w:tcW w:type="dxa" w:w="6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HAC-ES CLT solar installations qualify. EWEB staff advise on system sizing and interconnection.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Low-Income Heat Pump Rebate ($4,500)</w:t>
            </w:r>
          </w:p>
        </w:tc>
        <w:tc>
          <w:tcPr>
            <w:tcW w:type="dxa" w:w="6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HAIS identifies all qualifying members; worker cooperative performs installation; HAC-ES navigates rebate paperwork.</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Community Solar Program</w:t>
            </w:r>
          </w:p>
        </w:tc>
        <w:tc>
          <w:tcPr>
            <w:tcW w:type="dxa" w:w="6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HAC-ES develops its own community solar project subscribed by members — alternative to EWEB's existing program.</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Greenpower Grants ($50,000 every 2 years)</w:t>
            </w:r>
          </w:p>
        </w:tc>
        <w:tc>
          <w:tcPr>
            <w:tcW w:type="dxa" w:w="6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HAC-ES applies each cycle to fund Climate Ambassador program and green infrastructure navigation.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Transportation Electrification ($835K/year)</w:t>
            </w:r>
          </w:p>
        </w:tc>
        <w:tc>
          <w:tcPr>
            <w:tcW w:type="dxa" w:w="6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HAC-ES proposes EV charging at CLT properties; advocates for e-bike lending library.</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Smart Meter Data Partnership</w:t>
            </w:r>
          </w:p>
        </w:tc>
        <w:tc>
          <w:tcPr>
            <w:tcW w:type="dxa" w:w="6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With member consent, EWEB smart meter data feeds HAIS energy insecurity detection.</w:t>
            </w:r>
          </w:p>
        </w:tc>
      </w:tr>
    </w:tbl>
    <w:p>
      <w:pPr>
        <w:spacing w:after="0" w:before="120"/>
      </w:pPr>
      <w:r>
        <w:t xml:space="preserve"/>
      </w:r>
    </w:p>
    <w:p>
      <w:pPr>
        <w:spacing w:after="80" w:before="180"/>
      </w:pPr>
      <w:r>
        <w:rPr>
          <w:rFonts w:ascii="Arial" w:cs="Arial" w:eastAsia="Arial" w:hAnsi="Arial"/>
          <w:b/>
          <w:bCs/>
          <w:color w:val="0B3D6B"/>
          <w:sz w:val="22"/>
          <w:szCs w:val="22"/>
        </w:rPr>
        <w:t xml:space="preserve">Oregon Climate Action Plan Alignment</w:t>
      </w:r>
    </w:p>
    <w:p>
      <w:pPr>
        <w:spacing w:after="120" w:before="60"/>
        <w:jc w:val="left"/>
      </w:pPr>
      <w:r>
        <w:rPr>
          <w:rFonts w:ascii="Arial" w:cs="Arial" w:eastAsia="Arial" w:hAnsi="Arial"/>
          <w:b w:val="false"/>
          <w:bCs w:val="false"/>
          <w:i w:val="false"/>
          <w:iCs w:val="false"/>
          <w:color w:val="1C1C1A"/>
          <w:sz w:val="22"/>
          <w:szCs w:val="22"/>
        </w:rPr>
        <w:t xml:space="preserve">Every green energy installation HAC-ES executes is reportable to Oregon DEQ's Community Climate Investment program as measurable EJ community emissions reduction. HAC-ES's HAIS tracks aggregate carbon reduction across the cooperative network — kWh generated, therms avoided, vehicle miles shifted — and reports these in the Human Flourishing Dashboard. This data:</w:t>
      </w:r>
    </w:p>
    <w:p>
      <w:pPr>
        <w:pStyle w:val="ListParagraph"/>
        <w:numPr>
          <w:ilvl w:val="0"/>
          <w:numId w:val="2"/>
        </w:numPr>
        <w:spacing w:after="60" w:before="40"/>
      </w:pPr>
      <w:r>
        <w:rPr>
          <w:rFonts w:ascii="Arial" w:cs="Arial" w:eastAsia="Arial" w:hAnsi="Arial"/>
          <w:sz w:val="22"/>
          <w:szCs w:val="22"/>
        </w:rPr>
        <w:t xml:space="preserve">Strengthens every future Community Climate Investment grant application (up to $500M/year statewide)</w:t>
      </w:r>
    </w:p>
    <w:p>
      <w:pPr>
        <w:pStyle w:val="ListParagraph"/>
        <w:numPr>
          <w:ilvl w:val="0"/>
          <w:numId w:val="2"/>
        </w:numPr>
        <w:spacing w:after="60" w:before="40"/>
      </w:pPr>
      <w:r>
        <w:rPr>
          <w:rFonts w:ascii="Arial" w:cs="Arial" w:eastAsia="Arial" w:hAnsi="Arial"/>
          <w:sz w:val="22"/>
          <w:szCs w:val="22"/>
        </w:rPr>
        <w:t xml:space="preserve">Documents HAC-ES's role in Eugene CAP 2.0 implementation for CDBG and sustainability grant purposes</w:t>
      </w:r>
    </w:p>
    <w:p>
      <w:pPr>
        <w:pStyle w:val="ListParagraph"/>
        <w:numPr>
          <w:ilvl w:val="0"/>
          <w:numId w:val="2"/>
        </w:numPr>
        <w:spacing w:after="60" w:before="40"/>
      </w:pPr>
      <w:r>
        <w:rPr>
          <w:rFonts w:ascii="Arial" w:cs="Arial" w:eastAsia="Arial" w:hAnsi="Arial"/>
          <w:sz w:val="22"/>
          <w:szCs w:val="22"/>
        </w:rPr>
        <w:t xml:space="preserve">Provides EWEB with community impact data for its federal reporting requirements</w:t>
      </w:r>
    </w:p>
    <w:p>
      <w:pPr>
        <w:pStyle w:val="ListParagraph"/>
        <w:numPr>
          <w:ilvl w:val="0"/>
          <w:numId w:val="2"/>
        </w:numPr>
        <w:spacing w:after="60" w:before="40"/>
      </w:pPr>
      <w:r>
        <w:rPr>
          <w:rFonts w:ascii="Arial" w:cs="Arial" w:eastAsia="Arial" w:hAnsi="Arial"/>
          <w:sz w:val="22"/>
          <w:szCs w:val="22"/>
        </w:rPr>
        <w:t xml:space="preserve">Creates the evidence base for Community Benefit Agreements with UO and PeaceHealth that include green infrastructure commitments</w:t>
      </w:r>
    </w:p>
    <w:p>
      <w:pPr>
        <w:spacing w:after="0" w:before="200"/>
      </w:pPr>
      <w:r>
        <w:t xml:space="preserve"/>
      </w:r>
    </w:p>
    <w:p>
      <w:pPr>
        <w:pStyle w:val="Heading1"/>
        <w:spacing w:after="160" w:before="320"/>
      </w:pPr>
      <w:r>
        <w:rPr>
          <w:rFonts w:ascii="Arial" w:cs="Arial" w:eastAsia="Arial" w:hAnsi="Arial"/>
          <w:b/>
          <w:bCs/>
          <w:color w:val="0B3D6B"/>
          <w:sz w:val="34"/>
          <w:szCs w:val="34"/>
        </w:rPr>
        <w:t xml:space="preserve">PART IX — PHASED IMPLEMENTATION PLAN</w:t>
      </w:r>
    </w:p>
    <w:p>
      <w:pPr>
        <w:pBdr>
          <w:bottom w:val="single" w:color="0B3D6B" w:sz="6" w:space="1"/>
        </w:pBdr>
        <w:spacing w:after="0" w:before="0"/>
      </w:pPr>
      <w:r>
        <w:t xml:space="preserve"/>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7080"/>
      </w:tblGrid>
      <w:tr>
        <w:trPr>
          <w:tblHeader/>
        </w:trPr>
        <w:tc>
          <w:tcPr>
            <w:tcW w:type="dxa" w:w="14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16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Timeline</w:t>
            </w:r>
          </w:p>
        </w:tc>
        <w:tc>
          <w:tcPr>
            <w:tcW w:type="dxa" w:w="70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Green Energy Actions</w:t>
            </w:r>
          </w:p>
        </w:tc>
      </w:tr>
      <w:tr>
        <w:tc>
          <w:tcPr>
            <w:tcW w:type="dxa" w:w="140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FFFFFF"/>
                <w:sz w:val="20"/>
                <w:szCs w:val="20"/>
              </w:rPr>
              <w:t xml:space="preserve">Phase 1</w:t>
            </w:r>
          </w:p>
        </w:tc>
        <w:tc>
          <w:tcPr>
            <w:tcW w:type="dxa" w:w="16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2026 Year 1</w:t>
            </w:r>
          </w:p>
        </w:tc>
        <w:tc>
          <w:tcPr>
            <w:tcW w:type="dxa" w:w="70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Enroll in EWEB community solar program for all qualifying members (no capital required). Establish EWEB Organizational Member partnership. File for EWEB Greenpower Grant. Begin IRA workforce training pathway with Lane Community College and Oregon Building Trades. Engage nonprofit energy counsel ($3,000–$7,500).</w:t>
            </w:r>
          </w:p>
        </w:tc>
      </w:tr>
      <w:tr>
        <w:tc>
          <w:tcPr>
            <w:tcW w:type="dxa" w:w="1400"/>
            <w:tcBorders>
              <w:top w:val="single" w:color="CCCCCC" w:sz="1"/>
              <w:left w:val="single" w:color="CCCCCC" w:sz="1"/>
              <w:bottom w:val="single" w:color="CCCCCC" w:sz="1"/>
              <w:right w:val="single" w:color="CCCCCC" w:sz="1"/>
            </w:tcBorders>
            <w:shd w:fill="1B5C9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Phase 2</w:t>
            </w:r>
          </w:p>
        </w:tc>
        <w:tc>
          <w:tcPr>
            <w:tcW w:type="dxa" w:w="16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2027 Year 2</w:t>
            </w:r>
          </w:p>
        </w:tc>
        <w:tc>
          <w:tcPr>
            <w:tcW w:type="dxa" w:w="70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First CLT property acquired: solar assessment and installation. File IRA Section 6417 direct pay. Launch Lane Green Cooperative incubation: seed capital, anchor customer contract, NABCEP training for first cohort of 3–4 worker-members. Apply for IRA Solar for All EPA grant ($1M–$3M) in preparation for community solar array.</w:t>
            </w:r>
          </w:p>
        </w:tc>
      </w:tr>
      <w:tr>
        <w:tc>
          <w:tcPr>
            <w:tcW w:type="dxa" w:w="1400"/>
            <w:tcBorders>
              <w:top w:val="single" w:color="CCCCCC" w:sz="1"/>
              <w:left w:val="single" w:color="CCCCCC" w:sz="1"/>
              <w:bottom w:val="single" w:color="CCCCCC" w:sz="1"/>
              <w:right w:val="single" w:color="CCCCCC" w:sz="1"/>
            </w:tcBorders>
            <w:shd w:fill="074D3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Phase 3</w:t>
            </w:r>
          </w:p>
        </w:tc>
        <w:tc>
          <w:tcPr>
            <w:tcW w:type="dxa" w:w="16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sz w:val="20"/>
                <w:szCs w:val="20"/>
              </w:rPr>
              <w:t xml:space="preserve">2028–2029 Years 3–4</w:t>
            </w:r>
          </w:p>
        </w:tc>
        <w:tc>
          <w:tcPr>
            <w:tcW w:type="dxa" w:w="70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Solar on 3–5 CLT properties. Lane Green Cooperative reaches 6–8 workers, serving external customers. HAC-ES community solar array development (500 kW): Solar for All grant secured, CDFI construction bridge, EWEB interconnection agreement. First ITC direct pay received.</w:t>
            </w:r>
          </w:p>
        </w:tc>
      </w:tr>
      <w:tr>
        <w:tc>
          <w:tcPr>
            <w:tcW w:type="dxa" w:w="1400"/>
            <w:tcBorders>
              <w:top w:val="single" w:color="CCCCCC" w:sz="1"/>
              <w:left w:val="single" w:color="CCCCCC" w:sz="1"/>
              <w:bottom w:val="single" w:color="CCCCCC" w:sz="1"/>
              <w:right w:val="single" w:color="CCCCCC" w:sz="1"/>
            </w:tcBorders>
            <w:shd w:fill="B8590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Phase 4+</w:t>
            </w:r>
          </w:p>
        </w:tc>
        <w:tc>
          <w:tcPr>
            <w:tcW w:type="dxa" w:w="1600"/>
            <w:tcBorders>
              <w:top w:val="single" w:color="CCCCCC" w:sz="1"/>
              <w:left w:val="single" w:color="CCCCCC" w:sz="1"/>
              <w:bottom w:val="single" w:color="CCCCCC" w:sz="1"/>
              <w:right w:val="single" w:color="CCCCCC" w:sz="1"/>
            </w:tcBorders>
            <w:shd w:fill="FDF0E3" w:val="clear"/>
            <w:tcMar>
              <w:top w:type="dxa" w:w="80"/>
              <w:left w:type="dxa" w:w="120"/>
              <w:bottom w:type="dxa" w:w="80"/>
              <w:right w:type="dxa" w:w="120"/>
            </w:tcMar>
          </w:tcPr>
          <w:p>
            <w:r>
              <w:rPr>
                <w:rFonts w:ascii="Arial" w:cs="Arial" w:eastAsia="Arial" w:hAnsi="Arial"/>
                <w:sz w:val="20"/>
                <w:szCs w:val="20"/>
              </w:rPr>
              <w:t xml:space="preserve">2030+ Years 5+</w:t>
            </w:r>
          </w:p>
        </w:tc>
        <w:tc>
          <w:tcPr>
            <w:tcW w:type="dxa" w:w="7080"/>
            <w:tcBorders>
              <w:top w:val="single" w:color="CCCCCC" w:sz="1"/>
              <w:left w:val="single" w:color="CCCCCC" w:sz="1"/>
              <w:bottom w:val="single" w:color="CCCCCC" w:sz="1"/>
              <w:right w:val="single" w:color="CCCCCC" w:sz="1"/>
            </w:tcBorders>
            <w:shd w:fill="FDF0E3" w:val="clear"/>
            <w:tcMar>
              <w:top w:type="dxa" w:w="80"/>
              <w:left w:type="dxa" w:w="120"/>
              <w:bottom w:type="dxa" w:w="80"/>
              <w:right w:type="dxa" w:w="120"/>
            </w:tcMar>
          </w:tcPr>
          <w:p>
            <w:r>
              <w:rPr>
                <w:rFonts w:ascii="Arial" w:cs="Arial" w:eastAsia="Arial" w:hAnsi="Arial"/>
                <w:sz w:val="20"/>
                <w:szCs w:val="20"/>
              </w:rPr>
              <w:t xml:space="preserve">Community solar array cash-flow positive, funding Human Asset Fund annually. Evaluate wind installation on rural CLT properties where resource exists. Consider second community solar array or expansion. Lane Green Cooperative EWEB-preferred contractor. HAIS green energy dashboard tracking aggregate kWh, emissions avoided, and member energy burden reduction across full network.</w:t>
            </w:r>
          </w:p>
        </w:tc>
      </w:tr>
    </w:tbl>
    <w:p>
      <w:pPr>
        <w:spacing w:after="0" w:before="200"/>
      </w:pPr>
      <w:r>
        <w:t xml:space="preserve"/>
      </w:r>
    </w:p>
    <w:p>
      <w:pPr>
        <w:pStyle w:val="Heading1"/>
        <w:spacing w:after="160" w:before="320"/>
      </w:pPr>
      <w:r>
        <w:rPr>
          <w:rFonts w:ascii="Arial" w:cs="Arial" w:eastAsia="Arial" w:hAnsi="Arial"/>
          <w:b/>
          <w:bCs/>
          <w:color w:val="0B3D6B"/>
          <w:sz w:val="34"/>
          <w:szCs w:val="34"/>
        </w:rPr>
        <w:t xml:space="preserve">SUMMARY: WHAT GREEN ENERGY ADDS TO HAC-ES</w:t>
      </w:r>
    </w:p>
    <w:p>
      <w:pPr>
        <w:pBdr>
          <w:bottom w:val="single" w:color="0B3D6B" w:sz="6" w:space="1"/>
        </w:pBdr>
        <w:spacing w:after="0" w:before="0"/>
      </w:pPr>
      <w:r>
        <w:t xml:space="preserve"/>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rPr>
          <w:tblHeader/>
        </w:trPr>
        <w:tc>
          <w:tcPr>
            <w:tcW w:type="dxa" w:w="32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Value to HAC-ES</w:t>
            </w:r>
          </w:p>
        </w:tc>
        <w:tc>
          <w:tcPr>
            <w:tcW w:type="dxa" w:w="68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How It's Delivered</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Reduces member utility bills</w:t>
            </w:r>
          </w:p>
        </w:tc>
        <w:tc>
          <w:tcPr>
            <w:tcW w:type="dxa" w:w="6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Solar on CLT properties and community solar subscriptions directly cut monthly costs for the members who need it most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Generates Fund revenue</w:t>
            </w:r>
          </w:p>
        </w:tc>
        <w:tc>
          <w:tcPr>
            <w:tcW w:type="dxa" w:w="6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Community solar subscriptions, electricity sales, equity distributions from Lane Green Cooperative, and IRA direct pay cash</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Creates living-wage jobs</w:t>
            </w:r>
          </w:p>
        </w:tc>
        <w:tc>
          <w:tcPr>
            <w:tcW w:type="dxa" w:w="6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Lane Green Cooperative employs members in growing, durable, IRA-supported trades at living wages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Advances CAP 2.0 and climate goals</w:t>
            </w:r>
          </w:p>
        </w:tc>
        <w:tc>
          <w:tcPr>
            <w:tcW w:type="dxa" w:w="6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Measurable carbon reductions tracked by HAIS; EWEB partnership strengthened; City sustainability grants unlocked</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Strengthens grant applications</w:t>
            </w:r>
          </w:p>
        </w:tc>
        <w:tc>
          <w:tcPr>
            <w:tcW w:type="dxa" w:w="68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EPA Solar for All, Oregon Community Climate Investment, EWEB Greenpower Grants all require community green energy implementation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Builds long-term asset base</w:t>
            </w:r>
          </w:p>
        </w:tc>
        <w:tc>
          <w:tcPr>
            <w:tcW w:type="dxa" w:w="6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Owned solar installations are appreciating community assets that generate revenue for 25–30 years</w:t>
            </w:r>
          </w:p>
        </w:tc>
      </w:tr>
    </w:tbl>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74D3A" w:val="clear"/>
            <w:tcMar>
              <w:top w:type="dxa" w:w="280"/>
              <w:left w:type="dxa" w:w="480"/>
              <w:bottom w:type="dxa" w:w="280"/>
              <w:right w:type="dxa" w:w="480"/>
            </w:tcMar>
          </w:tcPr>
          <w:p>
            <w:pPr>
              <w:spacing w:after="100" w:before="0"/>
              <w:jc w:val="center"/>
            </w:pPr>
            <w:r>
              <w:rPr>
                <w:rFonts w:ascii="Arial" w:cs="Arial" w:eastAsia="Arial" w:hAnsi="Arial"/>
                <w:b/>
                <w:bCs/>
                <w:color w:val="FFFFFF"/>
                <w:sz w:val="28"/>
                <w:szCs w:val="28"/>
              </w:rPr>
              <w:t xml:space="preserve">Green energy doesn't just serve the mission.</w:t>
            </w:r>
          </w:p>
          <w:p>
            <w:pPr>
              <w:spacing w:after="0" w:before="0"/>
              <w:jc w:val="center"/>
            </w:pPr>
            <w:r>
              <w:rPr>
                <w:rFonts w:ascii="Arial" w:cs="Arial" w:eastAsia="Arial" w:hAnsi="Arial"/>
                <w:color w:val="A8D5B8"/>
                <w:sz w:val="22"/>
                <w:szCs w:val="22"/>
              </w:rPr>
              <w:t xml:space="preserve">It funds the mission. It employs the members. And it proves that a community cooperative can own the clean energy transition — not just benefit from it.</w:t>
            </w:r>
          </w:p>
        </w:tc>
      </w:tr>
    </w:tbl>
    <w:p>
      <w:pPr>
        <w:spacing w:after="0" w:before="120"/>
      </w:pPr>
      <w:r>
        <w:t xml:space="preserve"/>
      </w:r>
    </w:p>
    <w:p>
      <w:pPr>
        <w:pBdr>
          <w:bottom w:val="single" w:color="0D7A5A" w:sz="6" w:space="1"/>
        </w:pBdr>
        <w:spacing w:after="0" w:before="0"/>
      </w:pPr>
      <w:r>
        <w:t xml:space="preserve"/>
      </w:r>
    </w:p>
    <w:p>
      <w:pPr>
        <w:spacing w:after="0" w:before="60"/>
      </w:pPr>
      <w:r>
        <w:t xml:space="preserve"/>
      </w:r>
    </w:p>
    <w:p>
      <w:pPr>
        <w:spacing w:after="120" w:before="60"/>
        <w:jc w:val="left"/>
      </w:pPr>
      <w:r>
        <w:rPr>
          <w:rFonts w:ascii="Arial" w:cs="Arial" w:eastAsia="Arial" w:hAnsi="Arial"/>
          <w:b w:val="false"/>
          <w:bCs w:val="false"/>
          <w:i/>
          <w:iCs/>
          <w:color w:val="8A8A85"/>
          <w:sz w:val="22"/>
          <w:szCs w:val="22"/>
        </w:rPr>
        <w:t xml:space="preserve">Human Asset Cooperative of Eugene-Springfield  ·  Green Energy Business Integration Strategy  ·  Draft 1.0  ·  2026. This document does not constitute legal, tax, or financial advice. IRA direct pay figures based on 2026 program parameters. Consult qualified Oregon nonprofit energy counsel before executing energy asset transactions.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B3D6B" w:sz="4" w:space="1"/>
      </w:pBdr>
      <w:spacing w:after="0" w:before="80"/>
      <w:jc w:val="right"/>
    </w:pPr>
    <w:r>
      <w:rPr>
        <w:rFonts w:ascii="Arial" w:cs="Arial" w:eastAsia="Arial" w:hAnsi="Arial"/>
        <w:color w:val="6A6A65"/>
        <w:sz w:val="18"/>
        <w:szCs w:val="18"/>
      </w:rPr>
      <w:t xml:space="preserve">Page </w:t>
    </w:r>
    <w:r>
      <w:rPr>
        <w:rFonts w:ascii="Arial" w:cs="Arial" w:eastAsia="Arial" w:hAnsi="Arial"/>
        <w:color w:val="6A6A6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7A5A" w:sz="4" w:space="1"/>
      </w:pBdr>
      <w:spacing w:after="80" w:before="0"/>
    </w:pPr>
    <w:r>
      <w:rPr>
        <w:rFonts w:ascii="Arial" w:cs="Arial" w:eastAsia="Arial" w:hAnsi="Arial"/>
        <w:color w:val="6A6A65"/>
        <w:sz w:val="18"/>
        <w:szCs w:val="18"/>
      </w:rPr>
      <w:t xml:space="preserve">Human Asset Cooperative of Eugene-Springfield  |  </w:t>
    </w:r>
    <w:r>
      <w:rPr>
        <w:rFonts w:ascii="Arial" w:cs="Arial" w:eastAsia="Arial" w:hAnsi="Arial"/>
        <w:b/>
        <w:bCs/>
        <w:color w:val="074D3A"/>
        <w:sz w:val="18"/>
        <w:szCs w:val="18"/>
      </w:rPr>
      <w:t xml:space="preserve">Green Energy Business Integration Strategy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B3D6B"/>
      <w:sz w:val="34"/>
      <w:szCs w:val="34"/>
    </w:rPr>
  </w:style>
  <w:style w:type="paragraph" w:styleId="Heading2">
    <w:name w:val="Heading 2"/>
    <w:basedOn w:val="Normal"/>
    <w:next w:val="Normal"/>
    <w:qFormat/>
    <w:pPr>
      <w:spacing w:after="120" w:before="240"/>
      <w:outlineLvl w:val="1"/>
    </w:pPr>
    <w:rPr>
      <w:rFonts w:ascii="Arial" w:cs="Arial" w:eastAsia="Arial" w:hAnsi="Arial"/>
      <w:b/>
      <w:bCs/>
      <w:color w:val="074D3A"/>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2026-06-02T23:18:48.460Z</dcterms:created>
  <dcterms:modified xsi:type="dcterms:W3CDTF">2026-06-02T23:18:48.460Z</dcterms:modified>
</cp:coreProperties>
</file>

<file path=docProps/custom.xml><?xml version="1.0" encoding="utf-8"?>
<Properties xmlns="http://schemas.openxmlformats.org/officeDocument/2006/custom-properties" xmlns:vt="http://schemas.openxmlformats.org/officeDocument/2006/docPropsVTypes"/>
</file>