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B3D6B" w:val="clear"/>
            <w:tcMar>
              <w:top w:type="dxa" w:w="400"/>
              <w:left w:type="dxa" w:w="480"/>
              <w:bottom w:type="dxa" w:w="360"/>
              <w:right w:type="dxa" w:w="480"/>
            </w:tcMar>
          </w:tcPr>
          <w:p>
            <w:pPr>
              <w:spacing w:after="80" w:before="0"/>
            </w:pPr>
            <w:r>
              <w:rPr>
                <w:rFonts w:ascii="Arial" w:cs="Arial" w:eastAsia="Arial" w:hAnsi="Arial"/>
                <w:b/>
                <w:bCs/>
                <w:color w:val="FFFFFF"/>
                <w:sz w:val="48"/>
                <w:szCs w:val="48"/>
              </w:rPr>
              <w:t xml:space="preserve">HUMAN ASSET COOPERATIVE</w:t>
            </w:r>
          </w:p>
          <w:p>
            <w:pPr>
              <w:spacing w:after="160" w:before="0"/>
            </w:pPr>
            <w:r>
              <w:rPr>
                <w:rFonts w:ascii="Arial" w:cs="Arial" w:eastAsia="Arial" w:hAnsi="Arial"/>
                <w:i/>
                <w:iCs/>
                <w:color w:val="8BBFE8"/>
                <w:sz w:val="30"/>
                <w:szCs w:val="30"/>
              </w:rPr>
              <w:t xml:space="preserve">of Eugene-Springfield</w:t>
            </w:r>
          </w:p>
          <w:p>
            <w:pPr>
              <w:spacing w:after="0" w:before="80"/>
            </w:pPr>
            <w:r>
              <w:rPr>
                <w:rFonts w:ascii="Arial" w:cs="Arial" w:eastAsia="Arial" w:hAnsi="Arial"/>
                <w:b/>
                <w:bCs/>
                <w:color w:val="1AAF7A"/>
                <w:sz w:val="20"/>
                <w:szCs w:val="20"/>
              </w:rPr>
              <w:t xml:space="preserve">PATH OF GROWTH, LAUNCH SEQUENCE &amp; FUND SUSTAINABILITY  |  2026</w:t>
            </w:r>
          </w:p>
        </w:tc>
      </w:tr>
    </w:tbl>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D7A5A" w:sz="4"/>
              <w:left w:val="single" w:color="0D7A5A" w:sz="24"/>
              <w:bottom w:val="single" w:color="0D7A5A" w:sz="4"/>
              <w:right w:val="none" w:color="FFFFFF" w:sz="0"/>
            </w:tcBorders>
            <w:shd w:fill="E1F5EE" w:val="clear"/>
            <w:tcMar>
              <w:top w:type="dxa" w:w="120"/>
              <w:left w:type="dxa" w:w="240"/>
              <w:bottom w:type="dxa" w:w="120"/>
              <w:right w:type="dxa" w:w="240"/>
            </w:tcMar>
          </w:tcPr>
          <w:p>
            <w:pPr>
              <w:spacing w:after="0" w:before="0"/>
            </w:pPr>
            <w:r>
              <w:rPr>
                <w:rFonts w:ascii="Arial" w:cs="Arial" w:eastAsia="Arial" w:hAnsi="Arial"/>
                <w:i/>
                <w:iCs/>
                <w:color w:val="0D7A5A"/>
                <w:sz w:val="22"/>
                <w:szCs w:val="22"/>
              </w:rPr>
              <w:t xml:space="preserve">The central challenge of every community cooperative is the same: how do you provide real value to members from Day 1, while building the fund that makes that value sustainable — without spending the fund faster than you fill it? This document answers that question precisely.</w:t>
            </w:r>
          </w:p>
        </w:tc>
      </w:tr>
    </w:tbl>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D7A5A" w:sz="4"/>
              <w:left w:val="single" w:color="0D7A5A" w:sz="24"/>
              <w:bottom w:val="single" w:color="0D7A5A" w:sz="4"/>
              <w:right w:val="none" w:color="FFFFFF" w:sz="0"/>
            </w:tcBorders>
            <w:shd w:fill="E1F5EE" w:val="clear"/>
            <w:tcMar>
              <w:top w:type="dxa" w:w="120"/>
              <w:left w:type="dxa" w:w="240"/>
              <w:bottom w:type="dxa" w:w="120"/>
              <w:right w:type="dxa" w:w="240"/>
            </w:tcMar>
          </w:tcPr>
          <w:p>
            <w:pPr>
              <w:spacing w:after="0" w:before="0"/>
            </w:pPr>
            <w:r>
              <w:rPr>
                <w:rFonts w:ascii="Arial" w:cs="Arial" w:eastAsia="Arial" w:hAnsi="Arial"/>
                <w:b/>
                <w:bCs/>
                <w:color w:val="0D7A5A"/>
                <w:sz w:val="22"/>
                <w:szCs w:val="22"/>
              </w:rPr>
              <w:t>DUAL-ENTITY STRUCTURE — Version 2.0 (2026): HAC-ES (operating as a linked nonprofit + cooperative structure) separates grant/donation capital from earned revenue. The 501(c)(3) nonprofit entity (ORS Ch.65) holds the Human Asset Fund and all grant money. The ORS Ch.62 worker cooperative earns and distributes operating revenue via the Human Asset Dividend (HAD). This separation reduces regulatory risk to both streams: tax-exempt charitable funds stay protected in the nonprofit; patronage dividends flow through the cooperative. An Inter-entity Services Agreement governs all transfers between entities at fair market value.</w:t>
            </w:r>
          </w:p>
        </w:tc>
      </w:tr>
    </w:tbl>
    <w:p>
      <w:pPr>
        <w:spacing w:after="0" w:before="200"/>
      </w:pPr>
      <w:r>
        <w:t xml:space="preserve"/>
      </w:r>
    </w:p>
    <w:p>
      <w:pPr>
        <w:pStyle w:val="Heading1"/>
        <w:spacing w:after="160" w:before="320"/>
      </w:pPr>
      <w:r>
        <w:rPr>
          <w:rFonts w:ascii="Arial" w:cs="Arial" w:eastAsia="Arial" w:hAnsi="Arial"/>
          <w:b/>
          <w:bCs/>
          <w:color w:val="0B3D6B"/>
          <w:sz w:val="34"/>
          <w:szCs w:val="34"/>
        </w:rPr>
        <w:t xml:space="preserve">PART I — THE CORE SUSTAINABILITY LOGIC</w:t>
      </w:r>
    </w:p>
    <w:p>
      <w:pPr>
        <w:pBdr>
          <w:bottom w:val="single" w:color="0B3D6B" w:sz="6" w:space="1"/>
        </w:pBdr>
        <w:spacing w:after="0" w:before="0"/>
      </w:pPr>
      <w:r>
        <w:t xml:space="preserve"/>
      </w:r>
    </w:p>
    <w:p>
      <w:pPr>
        <w:spacing w:after="0" w:before="100"/>
      </w:pPr>
      <w:r>
        <w:t xml:space="preserve"/>
      </w:r>
    </w:p>
    <w:p>
      <w:pPr>
        <w:pStyle w:val="Heading2"/>
        <w:spacing w:after="120" w:before="240"/>
      </w:pPr>
      <w:r>
        <w:rPr>
          <w:rFonts w:ascii="Arial" w:cs="Arial" w:eastAsia="Arial" w:hAnsi="Arial"/>
          <w:b/>
          <w:bCs/>
          <w:color w:val="074D3A"/>
          <w:sz w:val="26"/>
          <w:szCs w:val="26"/>
        </w:rPr>
        <w:t xml:space="preserve">The Sustainability Problem — Stated Honestly</w:t>
      </w:r>
    </w:p>
    <w:p>
      <w:pPr>
        <w:spacing w:after="120" w:before="60"/>
        <w:jc w:val="left"/>
      </w:pPr>
      <w:r>
        <w:rPr>
          <w:rFonts w:ascii="Arial" w:cs="Arial" w:eastAsia="Arial" w:hAnsi="Arial"/>
          <w:b w:val="false"/>
          <w:bCs w:val="false"/>
          <w:i w:val="false"/>
          <w:iCs w:val="false"/>
          <w:color w:val="1C1C1A"/>
          <w:sz w:val="22"/>
          <w:szCs w:val="22"/>
        </w:rPr>
        <w:t xml:space="preserve">Any organization that promises to meet basic human needs faces a structural trap: the people who need the most help have the least capacity to fund the system that helps them. If HAC-ES simply collected membership fees from its neediest members and paid out benefits, the fund would be empty within months.</w:t>
      </w:r>
    </w:p>
    <w:p>
      <w:pPr>
        <w:spacing w:after="0" w:before="80"/>
      </w:pPr>
      <w:r>
        <w:t xml:space="preserve"/>
      </w:r>
    </w:p>
    <w:p>
      <w:pPr>
        <w:spacing w:after="120" w:before="60"/>
        <w:jc w:val="left"/>
      </w:pPr>
      <w:r>
        <w:rPr>
          <w:rFonts w:ascii="Arial" w:cs="Arial" w:eastAsia="Arial" w:hAnsi="Arial"/>
          <w:b w:val="false"/>
          <w:bCs w:val="false"/>
          <w:i w:val="false"/>
          <w:iCs w:val="false"/>
          <w:color w:val="1C1C1A"/>
          <w:sz w:val="22"/>
          <w:szCs w:val="22"/>
        </w:rPr>
        <w:t xml:space="preserve">HAC-ES is designed to avoid this trap through a specific architecture: it does not fund benefits from membership fees. It funds benefits from a diversified capital stack — and it uses the HAIS to make that capital work harder than any conventional nonprofit could.</w:t>
      </w:r>
    </w:p>
    <w:p>
      <w:pPr>
        <w:spacing w:after="0" w:before="120"/>
      </w:pPr>
      <w:r>
        <w:t xml:space="preserve"/>
      </w:r>
    </w:p>
    <w:p>
      <w:pPr>
        <w:pStyle w:val="Heading2"/>
        <w:spacing w:after="120" w:before="240"/>
      </w:pPr>
      <w:r>
        <w:rPr>
          <w:rFonts w:ascii="Arial" w:cs="Arial" w:eastAsia="Arial" w:hAnsi="Arial"/>
          <w:b/>
          <w:bCs/>
          <w:color w:val="074D3A"/>
          <w:sz w:val="26"/>
          <w:szCs w:val="26"/>
        </w:rPr>
        <w:t xml:space="preserve">The Four Funding Flows</w:t>
      </w:r>
    </w:p>
    <w:p>
      <w:pPr>
        <w:spacing w:after="120" w:before="60"/>
        <w:jc w:val="left"/>
      </w:pPr>
      <w:r>
        <w:rPr>
          <w:rFonts w:ascii="Arial" w:cs="Arial" w:eastAsia="Arial" w:hAnsi="Arial"/>
          <w:b w:val="false"/>
          <w:bCs w:val="false"/>
          <w:i w:val="false"/>
          <w:iCs w:val="false"/>
          <w:color w:val="1C1C1A"/>
          <w:sz w:val="22"/>
          <w:szCs w:val="22"/>
        </w:rPr>
        <w:t xml:space="preserve">The Human Asset Fund is capitalized by four distinct flows that are deliberately structured to be non-correlated — when one is slow, the others compensate: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2000"/>
        <w:gridCol w:w="3080"/>
      </w:tblGrid>
      <w:tr>
        <w:trPr>
          <w:tblHeader/>
        </w:trPr>
        <w:tc>
          <w:tcPr>
            <w:tcW w:type="dxa" w:w="20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Flow</w:t>
            </w:r>
          </w:p>
        </w:tc>
        <w:tc>
          <w:tcPr>
            <w:tcW w:type="dxa" w:w="30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Source</w:t>
            </w:r>
          </w:p>
        </w:tc>
        <w:tc>
          <w:tcPr>
            <w:tcW w:type="dxa" w:w="20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Year 1 Target</w:t>
            </w:r>
          </w:p>
        </w:tc>
        <w:tc>
          <w:tcPr>
            <w:tcW w:type="dxa" w:w="30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Grows How?</w:t>
            </w:r>
          </w:p>
        </w:tc>
      </w:tr>
      <w:tr>
        <w:tc>
          <w:tcPr>
            <w:tcW w:type="dxa" w:w="20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0B3D6B"/>
                <w:sz w:val="20"/>
                <w:szCs w:val="20"/>
              </w:rPr>
              <w:t xml:space="preserve">Flow 1</w:t>
            </w:r>
          </w:p>
        </w:tc>
        <w:tc>
          <w:tcPr>
            <w:tcW w:type="dxa" w:w="30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Grants &amp; government workforce funds (WIOA, IRA, OCF, MacArthur, Ford)</w:t>
            </w:r>
          </w:p>
        </w:tc>
        <w:tc>
          <w:tcPr>
            <w:tcW w:type="dxa" w:w="20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0B3D6B"/>
                <w:sz w:val="20"/>
                <w:szCs w:val="20"/>
              </w:rPr>
              <w:t xml:space="preserve">$100K–$500K</w:t>
            </w:r>
          </w:p>
        </w:tc>
        <w:tc>
          <w:tcPr>
            <w:tcW w:type="dxa" w:w="30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HAIS Grant Intelligence finds new sources continuously. Track record grows each year.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74D3A"/>
                <w:sz w:val="20"/>
                <w:szCs w:val="20"/>
              </w:rPr>
              <w:t xml:space="preserve">Flow 2</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Member contributions &amp; Community Investment Notes from upper-income members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74D3A"/>
                <w:sz w:val="20"/>
                <w:szCs w:val="20"/>
              </w:rPr>
              <w:t xml:space="preserve">$30K–$150K</w:t>
            </w:r>
          </w:p>
        </w:tc>
        <w:tc>
          <w:tcPr>
            <w:tcW w:type="dxa" w:w="30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Scales with membership. Founding patrons ($1,000/yr) provide early capital.</w:t>
            </w:r>
          </w:p>
        </w:tc>
      </w:tr>
      <w:tr>
        <w:tc>
          <w:tcPr>
            <w:tcW w:type="dxa" w:w="2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074D3A"/>
                <w:sz w:val="20"/>
                <w:szCs w:val="20"/>
              </w:rPr>
              <w:t xml:space="preserve">Flow 3</w:t>
            </w:r>
          </w:p>
        </w:tc>
        <w:tc>
          <w:tcPr>
            <w:tcW w:type="dxa" w:w="3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sz w:val="20"/>
                <w:szCs w:val="20"/>
              </w:rPr>
              <w:t xml:space="preserve">Institutional loans backed by member collateral pledges &amp; Organizational Member anchor partnerships</w:t>
            </w:r>
          </w:p>
        </w:tc>
        <w:tc>
          <w:tcPr>
            <w:tcW w:type="dxa" w:w="2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074D3A"/>
                <w:sz w:val="20"/>
                <w:szCs w:val="20"/>
              </w:rPr>
              <w:t xml:space="preserve">$200K–$1M line of credit</w:t>
            </w:r>
          </w:p>
        </w:tc>
        <w:tc>
          <w:tcPr>
            <w:tcW w:type="dxa" w:w="308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sz w:val="20"/>
                <w:szCs w:val="20"/>
              </w:rPr>
              <w:t xml:space="preserve">Creditworthiness grows as cooperative track record and membership base grow.</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B8590A"/>
                <w:sz w:val="20"/>
                <w:szCs w:val="20"/>
              </w:rPr>
              <w:t xml:space="preserve">Flow 4</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Earned revenue: HAIS platform licensing, cooperative incubator success fees, CIN interest, equity distributions</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B8590A"/>
                <w:sz w:val="20"/>
                <w:szCs w:val="20"/>
              </w:rPr>
              <w:t xml:space="preserve">Minimal in Year 1</w:t>
            </w:r>
          </w:p>
        </w:tc>
        <w:tc>
          <w:tcPr>
            <w:tcW w:type="dxa" w:w="30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Becomes primary sustainability engine by Year 3+. Self-reinforcing.</w:t>
            </w:r>
          </w:p>
        </w:tc>
      </w:tr>
    </w:tbl>
    <w:p>
      <w:pPr>
        <w:spacing w:after="0" w:before="14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3D6B" w:sz="4"/>
              <w:left w:val="single" w:color="0B3D6B" w:sz="4"/>
              <w:bottom w:val="single" w:color="0B3D6B" w:sz="4"/>
              <w:right w:val="single" w:color="0B3D6B" w:sz="4"/>
            </w:tcBorders>
            <w:shd w:fill="E6F0FA" w:val="clear"/>
            <w:tcMar>
              <w:top w:type="dxa" w:w="120"/>
              <w:left w:type="dxa" w:w="200"/>
              <w:bottom w:type="dxa" w:w="120"/>
              <w:right w:type="dxa" w:w="200"/>
            </w:tcMar>
          </w:tcPr>
          <w:p>
            <w:pPr>
              <w:spacing w:after="0" w:before="0"/>
            </w:pPr>
            <w:r>
              <w:rPr>
                <w:rFonts w:ascii="Arial" w:cs="Arial" w:eastAsia="Arial" w:hAnsi="Arial"/>
                <w:color w:val="1C1C1A"/>
                <w:sz w:val="22"/>
                <w:szCs w:val="22"/>
              </w:rPr>
              <w:t xml:space="preserve">The key insight: HAC-ES does not fund benefits from membership fees. It funds benefits from the capital stack above — and uses the HAIS to dramatically reduce the cost of administration so more of every dollar reaches members rather than overhead.</w:t>
            </w:r>
          </w:p>
        </w:tc>
      </w:tr>
    </w:tbl>
    <w:p>
      <w:pPr>
        <w:spacing w:after="0" w:before="200"/>
      </w:pPr>
      <w:r>
        <w:t xml:space="preserve"/>
      </w:r>
    </w:p>
    <w:p>
      <w:pPr>
        <w:pStyle w:val="Heading2"/>
        <w:spacing w:after="120" w:before="240"/>
      </w:pPr>
      <w:r>
        <w:rPr>
          <w:rFonts w:ascii="Arial" w:cs="Arial" w:eastAsia="Arial" w:hAnsi="Arial"/>
          <w:b/>
          <w:bCs/>
          <w:color w:val="074D3A"/>
          <w:sz w:val="26"/>
          <w:szCs w:val="26"/>
        </w:rPr>
        <w:t xml:space="preserve">How Funds Don't Get Chewed Up — The Five Structural Protections</w:t>
      </w:r>
    </w:p>
    <w:p>
      <w:pPr>
        <w:spacing w:after="120" w:before="60"/>
        <w:jc w:val="left"/>
      </w:pPr>
      <w:r>
        <w:rPr>
          <w:rFonts w:ascii="Arial" w:cs="Arial" w:eastAsia="Arial" w:hAnsi="Arial"/>
          <w:b w:val="false"/>
          <w:bCs w:val="false"/>
          <w:i w:val="false"/>
          <w:iCs w:val="false"/>
          <w:color w:val="1C1C1A"/>
          <w:sz w:val="22"/>
          <w:szCs w:val="22"/>
        </w:rPr>
        <w:t xml:space="preserve">The greatest risk to any community fund is not malice — it is drift. Small, individually defensible decisions accumulate into a fund that spends fast and builds slow. HAC-ES prevents this through five structural mechanisms, not just good intentions.</w:t>
      </w:r>
    </w:p>
    <w:p>
      <w:pPr>
        <w:spacing w:after="0" w:before="120"/>
      </w:pPr>
      <w:r>
        <w:t xml:space="preserve"/>
      </w:r>
    </w:p>
    <w:p>
      <w:pPr>
        <w:spacing w:after="80" w:before="180"/>
      </w:pPr>
      <w:r>
        <w:rPr>
          <w:rFonts w:ascii="Arial" w:cs="Arial" w:eastAsia="Arial" w:hAnsi="Arial"/>
          <w:b/>
          <w:bCs/>
          <w:color w:val="0B3D6B"/>
          <w:sz w:val="22"/>
          <w:szCs w:val="22"/>
        </w:rPr>
        <w:t xml:space="preserve">Protection 1: The Priority Hierarchy — Spending Rules Are Legally Encoded</w:t>
      </w:r>
    </w:p>
    <w:p>
      <w:pPr>
        <w:spacing w:after="120" w:before="60"/>
        <w:jc w:val="left"/>
      </w:pPr>
      <w:r>
        <w:rPr>
          <w:rFonts w:ascii="Arial" w:cs="Arial" w:eastAsia="Arial" w:hAnsi="Arial"/>
          <w:b w:val="false"/>
          <w:bCs w:val="false"/>
          <w:i w:val="false"/>
          <w:iCs w:val="false"/>
          <w:color w:val="1C1C1A"/>
          <w:sz w:val="22"/>
          <w:szCs w:val="22"/>
        </w:rPr>
        <w:t xml:space="preserve">The Bylaws mandate a specific spending order that cannot be changed without a two-thirds supermajority Council vote plus member ratification. No individual — not the Executive Director, not the Governing Council — can unilaterally redirect funds:</w:t>
      </w:r>
    </w:p>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6480"/>
      </w:tblGrid>
      <w:tr>
        <w:trPr>
          <w:tblHeader/>
        </w:trPr>
        <w:tc>
          <w:tcPr>
            <w:tcW w:type="dxa" w:w="12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Priority</w:t>
            </w:r>
          </w:p>
        </w:tc>
        <w:tc>
          <w:tcPr>
            <w:tcW w:type="dxa" w:w="24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64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Rule</w:t>
            </w:r>
          </w:p>
        </w:tc>
      </w:tr>
      <w:tr>
        <w:tc>
          <w:tcPr>
            <w:tcW w:type="dxa" w:w="120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FFFFFF"/>
                <w:sz w:val="22"/>
                <w:szCs w:val="22"/>
              </w:rPr>
              <w:t xml:space="preserve">P1</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Emergency basic needs</w:t>
            </w:r>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Immediate response — food, shelter, medical crisis. Smallest tier by volume, fastest by response time. HAIS Tier 1 autonomous within defined parameters.</w:t>
            </w:r>
          </w:p>
        </w:tc>
      </w:tr>
      <w:tr>
        <w:tc>
          <w:tcPr>
            <w:tcW w:type="dxa" w:w="1200"/>
            <w:tcBorders>
              <w:top w:val="single" w:color="CCCCCC" w:sz="1"/>
              <w:left w:val="single" w:color="CCCCCC" w:sz="1"/>
              <w:bottom w:val="single" w:color="CCCCCC" w:sz="1"/>
              <w:right w:val="single" w:color="CCCCCC" w:sz="1"/>
            </w:tcBorders>
            <w:shd w:fill="1B5C9A" w:val="clear"/>
            <w:tcMar>
              <w:top w:type="dxa" w:w="80"/>
              <w:left w:type="dxa" w:w="80"/>
              <w:bottom w:type="dxa" w:w="80"/>
              <w:right w:type="dxa" w:w="80"/>
            </w:tcMar>
          </w:tcPr>
          <w:p>
            <w:pPr>
              <w:jc w:val="center"/>
            </w:pPr>
            <w:r>
              <w:rPr>
                <w:rFonts w:ascii="Arial" w:cs="Arial" w:eastAsia="Arial" w:hAnsi="Arial"/>
                <w:b/>
                <w:bCs/>
                <w:color w:val="FFFFFF"/>
                <w:sz w:val="22"/>
                <w:szCs w:val="22"/>
              </w:rPr>
              <w:t xml:space="preserve">P2</w:t>
            </w:r>
          </w:p>
        </w:tc>
        <w:tc>
          <w:tcPr>
            <w:tcW w:type="dxa" w:w="24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sz w:val="20"/>
                <w:szCs w:val="20"/>
              </w:rPr>
              <w:t xml:space="preserve">Guaranteed basic needs floor</w:t>
            </w:r>
          </w:p>
        </w:tc>
        <w:tc>
          <w:tcPr>
            <w:tcW w:type="dxa" w:w="64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Ongoing housing, food, healthcare maintenance for enrolled members. Funded primarily through WIOA/government partnerships — not drawn from the endowment. The HAIS tracks the cost-per-member and flags when enrollment growth would outpace P2 funding.</w:t>
            </w:r>
          </w:p>
        </w:tc>
      </w:tr>
      <w:tr>
        <w:tc>
          <w:tcPr>
            <w:tcW w:type="dxa" w:w="1200"/>
            <w:tcBorders>
              <w:top w:val="single" w:color="CCCCCC" w:sz="1"/>
              <w:left w:val="single" w:color="CCCCCC" w:sz="1"/>
              <w:bottom w:val="single" w:color="CCCCCC" w:sz="1"/>
              <w:right w:val="single" w:color="CCCCCC" w:sz="1"/>
            </w:tcBorders>
            <w:shd w:fill="074D3A" w:val="clear"/>
            <w:tcMar>
              <w:top w:type="dxa" w:w="80"/>
              <w:left w:type="dxa" w:w="80"/>
              <w:bottom w:type="dxa" w:w="80"/>
              <w:right w:type="dxa" w:w="80"/>
            </w:tcMar>
          </w:tcPr>
          <w:p>
            <w:pPr>
              <w:jc w:val="center"/>
            </w:pPr>
            <w:r>
              <w:rPr>
                <w:rFonts w:ascii="Arial" w:cs="Arial" w:eastAsia="Arial" w:hAnsi="Arial"/>
                <w:b/>
                <w:bCs/>
                <w:color w:val="FFFFFF"/>
                <w:sz w:val="22"/>
                <w:szCs w:val="22"/>
              </w:rPr>
              <w:t xml:space="preserve">P3</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Human asset development</w:t>
            </w:r>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Training, education, skills development. These are investments, not expenses — each dollar generates a return through higher member wages, reduced P2 dependency, and increased contributions. Funded through IRA workforce provisions and WIOA co-investment.</w:t>
            </w:r>
          </w:p>
        </w:tc>
      </w:tr>
      <w:tr>
        <w:tc>
          <w:tcPr>
            <w:tcW w:type="dxa" w:w="1200"/>
            <w:tcBorders>
              <w:top w:val="single" w:color="CCCCCC" w:sz="1"/>
              <w:left w:val="single" w:color="CCCCCC" w:sz="1"/>
              <w:bottom w:val="single" w:color="CCCCCC" w:sz="1"/>
              <w:right w:val="single" w:color="CCCCCC" w:sz="1"/>
            </w:tcBorders>
            <w:shd w:fill="B8590A" w:val="clear"/>
            <w:tcMar>
              <w:top w:type="dxa" w:w="80"/>
              <w:left w:type="dxa" w:w="80"/>
              <w:bottom w:type="dxa" w:w="80"/>
              <w:right w:type="dxa" w:w="80"/>
            </w:tcMar>
          </w:tcPr>
          <w:p>
            <w:pPr>
              <w:jc w:val="center"/>
            </w:pPr>
            <w:r>
              <w:rPr>
                <w:rFonts w:ascii="Arial" w:cs="Arial" w:eastAsia="Arial" w:hAnsi="Arial"/>
                <w:b/>
                <w:bCs/>
                <w:color w:val="FFFFFF"/>
                <w:sz w:val="22"/>
                <w:szCs w:val="22"/>
              </w:rPr>
              <w:t xml:space="preserve">P4</w:t>
            </w:r>
          </w:p>
        </w:tc>
        <w:tc>
          <w:tcPr>
            <w:tcW w:type="dxa" w:w="2400"/>
            <w:tcBorders>
              <w:top w:val="single" w:color="CCCCCC" w:sz="1"/>
              <w:left w:val="single" w:color="CCCCCC" w:sz="1"/>
              <w:bottom w:val="single" w:color="CCCCCC" w:sz="1"/>
              <w:right w:val="single" w:color="CCCCCC" w:sz="1"/>
            </w:tcBorders>
            <w:shd w:fill="FDF0E3" w:val="clear"/>
            <w:tcMar>
              <w:top w:type="dxa" w:w="80"/>
              <w:left w:type="dxa" w:w="120"/>
              <w:bottom w:type="dxa" w:w="80"/>
              <w:right w:type="dxa" w:w="120"/>
            </w:tcMar>
          </w:tcPr>
          <w:p>
            <w:r>
              <w:rPr>
                <w:rFonts w:ascii="Arial" w:cs="Arial" w:eastAsia="Arial" w:hAnsi="Arial"/>
                <w:b/>
                <w:bCs/>
                <w:sz w:val="20"/>
                <w:szCs w:val="20"/>
              </w:rPr>
              <w:t xml:space="preserve">Org member capacity &amp; cooperative incubation</w:t>
            </w:r>
          </w:p>
        </w:tc>
        <w:tc>
          <w:tcPr>
            <w:tcW w:type="dxa" w:w="6480"/>
            <w:tcBorders>
              <w:top w:val="single" w:color="CCCCCC" w:sz="1"/>
              <w:left w:val="single" w:color="CCCCCC" w:sz="1"/>
              <w:bottom w:val="single" w:color="CCCCCC" w:sz="1"/>
              <w:right w:val="single" w:color="CCCCCC" w:sz="1"/>
            </w:tcBorders>
            <w:shd w:fill="FDF0E3" w:val="clear"/>
            <w:tcMar>
              <w:top w:type="dxa" w:w="80"/>
              <w:left w:type="dxa" w:w="120"/>
              <w:bottom w:type="dxa" w:w="80"/>
              <w:right w:type="dxa" w:w="120"/>
            </w:tcMar>
          </w:tcPr>
          <w:p>
            <w:r>
              <w:rPr>
                <w:rFonts w:ascii="Arial" w:cs="Arial" w:eastAsia="Arial" w:hAnsi="Arial"/>
                <w:sz w:val="20"/>
                <w:szCs w:val="20"/>
              </w:rPr>
              <w:t xml:space="preserve">Seed capital for worker cooperatives, employer capacity building. Co-funded with CDFI partners. Returns equity stakes that generate ongoing revenue to the Fund.</w:t>
            </w:r>
          </w:p>
        </w:tc>
      </w:tr>
      <w:tr>
        <w:tc>
          <w:tcPr>
            <w:tcW w:type="dxa" w:w="1200"/>
            <w:tcBorders>
              <w:top w:val="single" w:color="CCCCCC" w:sz="1"/>
              <w:left w:val="single" w:color="CCCCCC" w:sz="1"/>
              <w:bottom w:val="single" w:color="CCCCCC" w:sz="1"/>
              <w:right w:val="single" w:color="CCCCCC" w:sz="1"/>
            </w:tcBorders>
            <w:shd w:fill="0D7A5A" w:val="clear"/>
            <w:tcMar>
              <w:top w:type="dxa" w:w="80"/>
              <w:left w:type="dxa" w:w="80"/>
              <w:bottom w:type="dxa" w:w="80"/>
              <w:right w:type="dxa" w:w="80"/>
            </w:tcMar>
          </w:tcPr>
          <w:p>
            <w:pPr>
              <w:jc w:val="center"/>
            </w:pPr>
            <w:r>
              <w:rPr>
                <w:rFonts w:ascii="Arial" w:cs="Arial" w:eastAsia="Arial" w:hAnsi="Arial"/>
                <w:b/>
                <w:bCs/>
                <w:color w:val="FFFFFF"/>
                <w:sz w:val="22"/>
                <w:szCs w:val="22"/>
              </w:rPr>
              <w:t xml:space="preserve">P5</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Reserve &amp; replication</w:t>
            </w:r>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Fund growth, endowment building, federation infrastructure. The HAIS will not authorize a dividend until P5 reserves meet the minimum threshold set by the Governing Council. Dividends are never paid from principal.</w:t>
            </w:r>
          </w:p>
        </w:tc>
      </w:tr>
    </w:tbl>
    <w:p>
      <w:pPr>
        <w:spacing w:after="0" w:before="140"/>
      </w:pPr>
      <w:r>
        <w:t xml:space="preserve"/>
      </w:r>
    </w:p>
    <w:p>
      <w:pPr>
        <w:spacing w:after="80" w:before="180"/>
      </w:pPr>
      <w:r>
        <w:rPr>
          <w:rFonts w:ascii="Arial" w:cs="Arial" w:eastAsia="Arial" w:hAnsi="Arial"/>
          <w:b/>
          <w:bCs/>
          <w:color w:val="0B3D6B"/>
          <w:sz w:val="22"/>
          <w:szCs w:val="22"/>
        </w:rPr>
        <w:t xml:space="preserve">Protection 2: Benefits Are Largely Delivered Through Partners, Not Cash</w:t>
      </w:r>
    </w:p>
    <w:p>
      <w:pPr>
        <w:spacing w:after="120" w:before="60"/>
        <w:jc w:val="left"/>
      </w:pPr>
      <w:r>
        <w:rPr>
          <w:rFonts w:ascii="Arial" w:cs="Arial" w:eastAsia="Arial" w:hAnsi="Arial"/>
          <w:b w:val="false"/>
          <w:bCs w:val="false"/>
          <w:i w:val="false"/>
          <w:iCs w:val="false"/>
          <w:color w:val="1C1C1A"/>
          <w:sz w:val="22"/>
          <w:szCs w:val="22"/>
        </w:rPr>
        <w:t xml:space="preserve">The most important structural protection is one that is easy to miss: HAC-ES does not write checks to members for most benefits. It navigates them to resources that already exist — government programs, Organizational Member services, green energy rebates, workforce funding. The fund is not depleted; the ecosystem is activated.</w:t>
      </w:r>
    </w:p>
    <w:p>
      <w:pPr>
        <w:spacing w:after="0" w:before="60"/>
      </w:pPr>
      <w:r>
        <w:t xml:space="preserve"/>
      </w:r>
    </w:p>
    <w:p>
      <w:pPr>
        <w:pStyle w:val="ListParagraph"/>
        <w:numPr>
          <w:ilvl w:val="0"/>
          <w:numId w:val="2"/>
        </w:numPr>
        <w:spacing w:after="60" w:before="40"/>
      </w:pPr>
      <w:r>
        <w:rPr>
          <w:rFonts w:ascii="Arial" w:cs="Arial" w:eastAsia="Arial" w:hAnsi="Arial"/>
          <w:sz w:val="22"/>
          <w:szCs w:val="22"/>
        </w:rPr>
        <w:t xml:space="preserve">A member receiving SNAP navigation gets $1,260/year in food benefits — HAC-ES pays nothing, the federal government pays.</w:t>
      </w:r>
    </w:p>
    <w:p>
      <w:pPr>
        <w:pStyle w:val="ListParagraph"/>
        <w:numPr>
          <w:ilvl w:val="0"/>
          <w:numId w:val="2"/>
        </w:numPr>
        <w:spacing w:after="60" w:before="40"/>
      </w:pPr>
      <w:r>
        <w:rPr>
          <w:rFonts w:ascii="Arial" w:cs="Arial" w:eastAsia="Arial" w:hAnsi="Arial"/>
          <w:sz w:val="22"/>
          <w:szCs w:val="22"/>
        </w:rPr>
        <w:t xml:space="preserve">A member enrolled in a Medicare Savings Program gets $2,096/year in premium savings — Oregon OHA pays, HAC-ES navigates.</w:t>
      </w:r>
    </w:p>
    <w:p>
      <w:pPr>
        <w:pStyle w:val="ListParagraph"/>
        <w:numPr>
          <w:ilvl w:val="0"/>
          <w:numId w:val="2"/>
        </w:numPr>
        <w:spacing w:after="60" w:before="40"/>
      </w:pPr>
      <w:r>
        <w:rPr>
          <w:rFonts w:ascii="Arial" w:cs="Arial" w:eastAsia="Arial" w:hAnsi="Arial"/>
          <w:sz w:val="22"/>
          <w:szCs w:val="22"/>
        </w:rPr>
        <w:t xml:space="preserve">A member getting EWEB weatherization gets $5,000 in home upgrades — EWEB pays, HAC-ES coordinates.</w:t>
      </w:r>
    </w:p>
    <w:p>
      <w:pPr>
        <w:pStyle w:val="ListParagraph"/>
        <w:numPr>
          <w:ilvl w:val="0"/>
          <w:numId w:val="2"/>
        </w:numPr>
        <w:spacing w:after="60" w:before="40"/>
      </w:pPr>
      <w:r>
        <w:rPr>
          <w:rFonts w:ascii="Arial" w:cs="Arial" w:eastAsia="Arial" w:hAnsi="Arial"/>
          <w:sz w:val="22"/>
          <w:szCs w:val="22"/>
        </w:rPr>
        <w:t xml:space="preserve">A member getting job placement through the HAIS Employment Module gets a living-wage job — the Organizational Member employer pays the wages.</w:t>
      </w:r>
    </w:p>
    <w:p>
      <w:pPr>
        <w:spacing w:after="0" w:before="80"/>
      </w:pPr>
      <w:r>
        <w:t xml:space="preserve"/>
      </w:r>
    </w:p>
    <w:p>
      <w:pPr>
        <w:spacing w:after="120" w:before="60"/>
        <w:jc w:val="left"/>
      </w:pPr>
      <w:r>
        <w:rPr>
          <w:rFonts w:ascii="Arial" w:cs="Arial" w:eastAsia="Arial" w:hAnsi="Arial"/>
          <w:b w:val="false"/>
          <w:bCs w:val="false"/>
          <w:i w:val="false"/>
          <w:iCs w:val="false"/>
          <w:color w:val="1C1C1A"/>
          <w:sz w:val="22"/>
          <w:szCs w:val="22"/>
        </w:rPr>
        <w:t xml:space="preserve">This means the Fund's limited capital is reserved for the gaps the ecosystem cannot fill: true emergency situations, training stipends where no government funding exists, and cooperative incubation seed capital.</w:t>
      </w:r>
    </w:p>
    <w:p>
      <w:pPr>
        <w:spacing w:after="0" w:before="120"/>
      </w:pPr>
      <w:r>
        <w:t xml:space="preserve"/>
      </w:r>
    </w:p>
    <w:p>
      <w:pPr>
        <w:spacing w:after="80" w:before="180"/>
      </w:pPr>
      <w:r>
        <w:rPr>
          <w:rFonts w:ascii="Arial" w:cs="Arial" w:eastAsia="Arial" w:hAnsi="Arial"/>
          <w:b/>
          <w:bCs/>
          <w:color w:val="0B3D6B"/>
          <w:sz w:val="22"/>
          <w:szCs w:val="22"/>
        </w:rPr>
        <w:t xml:space="preserve">Protection 3: The HAIS Tracks Cost-Per-Member in Real Time</w:t>
      </w:r>
    </w:p>
    <w:p>
      <w:pPr>
        <w:spacing w:after="120" w:before="60"/>
        <w:jc w:val="left"/>
      </w:pPr>
      <w:r>
        <w:rPr>
          <w:rFonts w:ascii="Arial" w:cs="Arial" w:eastAsia="Arial" w:hAnsi="Arial"/>
          <w:b w:val="false"/>
          <w:bCs w:val="false"/>
          <w:i w:val="false"/>
          <w:iCs w:val="false"/>
          <w:color w:val="1C1C1A"/>
          <w:sz w:val="22"/>
          <w:szCs w:val="22"/>
        </w:rPr>
        <w:t xml:space="preserve">The HAIS calculates the actual cost of serving each member and projects forward: if membership grows at the current rate, does the Fund stay solvent? It generates a monthly Fund Solvency Projection — visible to the Governing Council and published publicly in the transparency dashboard.</w:t>
      </w:r>
    </w:p>
    <w:p>
      <w:pPr>
        <w:spacing w:after="0" w:before="60"/>
      </w:pPr>
      <w:r>
        <w:t xml:space="preserve"/>
      </w:r>
    </w:p>
    <w:p>
      <w:pPr>
        <w:spacing w:after="120" w:before="60"/>
        <w:jc w:val="left"/>
      </w:pPr>
      <w:r>
        <w:rPr>
          <w:rFonts w:ascii="Arial" w:cs="Arial" w:eastAsia="Arial" w:hAnsi="Arial"/>
          <w:b w:val="false"/>
          <w:bCs w:val="false"/>
          <w:i w:val="false"/>
          <w:iCs w:val="false"/>
          <w:color w:val="1C1C1A"/>
          <w:sz w:val="22"/>
          <w:szCs w:val="22"/>
        </w:rPr>
        <w:t xml:space="preserve">If the projection shows the P2 guaranteed needs floor becoming unsustainable at the current growth rate, the HAIS triggers a tiered response: first, a flag to the Finance Committee; then a recommendation to slow enrollment and prioritize grant fundraising; finally, a required Governing Council decision. Enrollment never outpaces funding by surprise.</w:t>
      </w:r>
    </w:p>
    <w:p>
      <w:pPr>
        <w:spacing w:after="0" w:before="120"/>
      </w:pPr>
      <w:r>
        <w:t xml:space="preserve"/>
      </w:r>
    </w:p>
    <w:p>
      <w:pPr>
        <w:spacing w:after="80" w:before="180"/>
      </w:pPr>
      <w:r>
        <w:rPr>
          <w:rFonts w:ascii="Arial" w:cs="Arial" w:eastAsia="Arial" w:hAnsi="Arial"/>
          <w:b/>
          <w:bCs/>
          <w:color w:val="0B3D6B"/>
          <w:sz w:val="22"/>
          <w:szCs w:val="22"/>
        </w:rPr>
        <w:t xml:space="preserve">Protection 4: The Anti-Extraction Framework</w:t>
      </w:r>
    </w:p>
    <w:p>
      <w:pPr>
        <w:spacing w:after="120" w:before="60"/>
        <w:jc w:val="left"/>
      </w:pPr>
      <w:r>
        <w:rPr>
          <w:rFonts w:ascii="Arial" w:cs="Arial" w:eastAsia="Arial" w:hAnsi="Arial"/>
          <w:b w:val="false"/>
          <w:bCs w:val="false"/>
          <w:i w:val="false"/>
          <w:iCs w:val="false"/>
          <w:color w:val="1C1C1A"/>
          <w:sz w:val="22"/>
          <w:szCs w:val="22"/>
        </w:rPr>
        <w:t xml:space="preserve">The Bylaws and AI Governance Charter contain a formal anti-extraction architecture: five types of fund misuse are defined, monitored by the HAIS, and subject to graduated enforcement up to membership termination and legal referral. These are not aspirational values — they are operational tripwires.</w:t>
      </w:r>
    </w:p>
    <w:p>
      <w:pPr>
        <w:spacing w:after="0" w:before="60"/>
      </w:pPr>
      <w:r>
        <w:t xml:space="preserve"/>
      </w:r>
    </w:p>
    <w:p>
      <w:pPr>
        <w:pStyle w:val="ListParagraph"/>
        <w:numPr>
          <w:ilvl w:val="0"/>
          <w:numId w:val="2"/>
        </w:numPr>
        <w:spacing w:after="60" w:before="40"/>
      </w:pPr>
      <w:r>
        <w:rPr>
          <w:rFonts w:ascii="Arial" w:cs="Arial" w:eastAsia="Arial" w:hAnsi="Arial"/>
          <w:sz w:val="22"/>
          <w:szCs w:val="22"/>
        </w:rPr>
        <w:t xml:space="preserve">Direct financial extraction: excessive compensation, self-dealing contracts, unauthorized disbursements</w:t>
      </w:r>
    </w:p>
    <w:p>
      <w:pPr>
        <w:pStyle w:val="ListParagraph"/>
        <w:numPr>
          <w:ilvl w:val="0"/>
          <w:numId w:val="2"/>
        </w:numPr>
        <w:spacing w:after="60" w:before="40"/>
      </w:pPr>
      <w:r>
        <w:rPr>
          <w:rFonts w:ascii="Arial" w:cs="Arial" w:eastAsia="Arial" w:hAnsi="Arial"/>
          <w:sz w:val="22"/>
          <w:szCs w:val="22"/>
        </w:rPr>
        <w:t xml:space="preserve">Mission extraction: fund gradually drifting toward easier-to-serve populations rather than highest-need</w:t>
      </w:r>
    </w:p>
    <w:p>
      <w:pPr>
        <w:pStyle w:val="ListParagraph"/>
        <w:numPr>
          <w:ilvl w:val="0"/>
          <w:numId w:val="2"/>
        </w:numPr>
        <w:spacing w:after="60" w:before="40"/>
      </w:pPr>
      <w:r>
        <w:rPr>
          <w:rFonts w:ascii="Arial" w:cs="Arial" w:eastAsia="Arial" w:hAnsi="Arial"/>
          <w:sz w:val="22"/>
          <w:szCs w:val="22"/>
        </w:rPr>
        <w:t xml:space="preserve">Indirect control extraction: governance structures entrenching insiders</w:t>
      </w:r>
    </w:p>
    <w:p>
      <w:pPr>
        <w:pStyle w:val="ListParagraph"/>
        <w:numPr>
          <w:ilvl w:val="0"/>
          <w:numId w:val="2"/>
        </w:numPr>
        <w:spacing w:after="60" w:before="40"/>
      </w:pPr>
      <w:r>
        <w:rPr>
          <w:rFonts w:ascii="Arial" w:cs="Arial" w:eastAsia="Arial" w:hAnsi="Arial"/>
          <w:sz w:val="22"/>
          <w:szCs w:val="22"/>
        </w:rPr>
        <w:t xml:space="preserve">Data extraction: member data monetized without consent</w:t>
      </w:r>
    </w:p>
    <w:p>
      <w:pPr>
        <w:pStyle w:val="ListParagraph"/>
        <w:numPr>
          <w:ilvl w:val="0"/>
          <w:numId w:val="2"/>
        </w:numPr>
        <w:spacing w:after="60" w:before="40"/>
      </w:pPr>
      <w:r>
        <w:rPr>
          <w:rFonts w:ascii="Arial" w:cs="Arial" w:eastAsia="Arial" w:hAnsi="Arial"/>
          <w:sz w:val="22"/>
          <w:szCs w:val="22"/>
        </w:rPr>
        <w:t xml:space="preserve">Attention extraction: programming optimized for engagement rather than member flourishing</w:t>
      </w:r>
    </w:p>
    <w:p>
      <w:pPr>
        <w:spacing w:after="0" w:before="60"/>
      </w:pPr>
      <w:r>
        <w:t xml:space="preserve"/>
      </w:r>
    </w:p>
    <w:p>
      <w:pPr>
        <w:spacing w:after="120" w:before="60"/>
        <w:jc w:val="left"/>
      </w:pPr>
      <w:r>
        <w:rPr>
          <w:rFonts w:ascii="Arial" w:cs="Arial" w:eastAsia="Arial" w:hAnsi="Arial"/>
          <w:b w:val="false"/>
          <w:bCs w:val="false"/>
          <w:i w:val="false"/>
          <w:iCs w:val="false"/>
          <w:color w:val="1C1C1A"/>
          <w:sz w:val="22"/>
          <w:szCs w:val="22"/>
        </w:rPr>
        <w:t xml:space="preserve">The HAIS monitors all five categories continuously. Alerts escalate through the AI Governance Oversight Officers to the full Council with automatic public disclosure if not resolved within defined timelines.</w:t>
      </w:r>
    </w:p>
    <w:p>
      <w:pPr>
        <w:spacing w:after="0" w:before="120"/>
      </w:pPr>
      <w:r>
        <w:t xml:space="preserve"/>
      </w:r>
    </w:p>
    <w:p>
      <w:pPr>
        <w:spacing w:after="80" w:before="180"/>
      </w:pPr>
      <w:r>
        <w:rPr>
          <w:rFonts w:ascii="Arial" w:cs="Arial" w:eastAsia="Arial" w:hAnsi="Arial"/>
          <w:b/>
          <w:bCs/>
          <w:color w:val="0B3D6B"/>
          <w:sz w:val="22"/>
          <w:szCs w:val="22"/>
        </w:rPr>
        <w:t xml:space="preserve">Protection 5: The Inclusion ROI Discipline</w:t>
      </w:r>
    </w:p>
    <w:p>
      <w:pPr>
        <w:spacing w:after="120" w:before="60"/>
        <w:jc w:val="left"/>
      </w:pPr>
      <w:r>
        <w:rPr>
          <w:rFonts w:ascii="Arial" w:cs="Arial" w:eastAsia="Arial" w:hAnsi="Arial"/>
          <w:b w:val="false"/>
          <w:bCs w:val="false"/>
          <w:i w:val="false"/>
          <w:iCs w:val="false"/>
          <w:color w:val="1C1C1A"/>
          <w:sz w:val="22"/>
          <w:szCs w:val="22"/>
        </w:rPr>
        <w:t xml:space="preserve">Every P1–P4 expenditure is required to have a measurable return — not just a good intention. The HAIS calculates Inclusion ROI: the economic multiplier of each dollar deployed. Research shows $1 invested in basic economic security generates $1.50–$3.00 in downstream community economic activity.</w:t>
      </w:r>
    </w:p>
    <w:p>
      <w:pPr>
        <w:spacing w:after="0" w:before="60"/>
      </w:pPr>
      <w:r>
        <w:t xml:space="preserve"/>
      </w:r>
    </w:p>
    <w:p>
      <w:pPr>
        <w:spacing w:after="120" w:before="60"/>
        <w:jc w:val="left"/>
      </w:pPr>
      <w:r>
        <w:rPr>
          <w:rFonts w:ascii="Arial" w:cs="Arial" w:eastAsia="Arial" w:hAnsi="Arial"/>
          <w:b w:val="false"/>
          <w:bCs w:val="false"/>
          <w:i w:val="false"/>
          <w:iCs w:val="false"/>
          <w:color w:val="1C1C1A"/>
          <w:sz w:val="22"/>
          <w:szCs w:val="22"/>
        </w:rPr>
        <w:t xml:space="preserve">Any program whose measured ROI falls below threshold triggers an automatic program review. The Fund does not continue funding programs because they feel good. It funds programs because they demonstrably generate more economic value than they consume.</w:t>
      </w:r>
    </w:p>
    <w:p>
      <w:pPr>
        <w:spacing w:after="0" w:before="200"/>
      </w:pPr>
      <w:r>
        <w:t xml:space="preserve"/>
      </w:r>
    </w:p>
    <w:p>
      <w:r>
        <w:br w:type="page"/>
      </w:r>
    </w:p>
    <w:p>
      <w:pPr>
        <w:pStyle w:val="Heading1"/>
        <w:spacing w:after="160" w:before="320"/>
      </w:pPr>
      <w:r>
        <w:rPr>
          <w:rFonts w:ascii="Arial" w:cs="Arial" w:eastAsia="Arial" w:hAnsi="Arial"/>
          <w:b/>
          <w:bCs/>
          <w:color w:val="0B3D6B"/>
          <w:sz w:val="34"/>
          <w:szCs w:val="34"/>
        </w:rPr>
        <w:t xml:space="preserve">PART II — HOW WE GET STARTED</w:t>
      </w:r>
    </w:p>
    <w:p>
      <w:pPr>
        <w:pBdr>
          <w:bottom w:val="single" w:color="0B3D6B" w:sz="6" w:space="1"/>
        </w:pBdr>
        <w:spacing w:after="0" w:before="0"/>
      </w:pPr>
      <w:r>
        <w:t xml:space="preserve"/>
      </w:r>
    </w:p>
    <w:p>
      <w:pPr>
        <w:spacing w:after="0" w:before="100"/>
      </w:pPr>
      <w:r>
        <w:t xml:space="preserve"/>
      </w:r>
    </w:p>
    <w:p>
      <w:pPr>
        <w:pStyle w:val="Heading2"/>
        <w:spacing w:after="120" w:before="240"/>
      </w:pPr>
      <w:r>
        <w:rPr>
          <w:rFonts w:ascii="Arial" w:cs="Arial" w:eastAsia="Arial" w:hAnsi="Arial"/>
          <w:b/>
          <w:bCs/>
          <w:color w:val="074D3A"/>
          <w:sz w:val="26"/>
          <w:szCs w:val="26"/>
        </w:rPr>
        <w:t xml:space="preserve">The Founding Sequence — 90 Days to First Operations</w:t>
      </w:r>
    </w:p>
    <w:p>
      <w:pPr>
        <w:spacing w:after="120" w:before="60"/>
        <w:jc w:val="left"/>
      </w:pPr>
      <w:r>
        <w:rPr>
          <w:rFonts w:ascii="Arial" w:cs="Arial" w:eastAsia="Arial" w:hAnsi="Arial"/>
          <w:b w:val="false"/>
          <w:bCs w:val="false"/>
          <w:i w:val="false"/>
          <w:iCs w:val="false"/>
          <w:color w:val="1C1C1A"/>
          <w:sz w:val="22"/>
          <w:szCs w:val="22"/>
        </w:rPr>
        <w:t xml:space="preserve">Getting started does not require a full fund, a full staff, or a complete HAIS. It requires the minimum viable legal, financial, and operational infrastructure to begin enrolling members and delivering value. Everything else is built while operating.</w:t>
      </w:r>
    </w:p>
    <w:p>
      <w:pPr>
        <w:spacing w:after="0" w:before="120"/>
      </w:pPr>
      <w:r>
        <w:t xml:space="preserve"/>
      </w:r>
    </w:p>
    <w:p>
      <w:pPr>
        <w:spacing w:after="80" w:before="180"/>
      </w:pPr>
      <w:r>
        <w:rPr>
          <w:rFonts w:ascii="Arial" w:cs="Arial" w:eastAsia="Arial" w:hAnsi="Arial"/>
          <w:b/>
          <w:bCs/>
          <w:color w:val="0B3D6B"/>
          <w:sz w:val="22"/>
          <w:szCs w:val="22"/>
        </w:rPr>
        <w:t xml:space="preserve">Step 1: Legal Formation (Weeks 1–3)  ·  Cost: $2,500–$4,000</w:t>
      </w:r>
    </w:p>
    <w:p>
      <w:pPr>
        <w:pStyle w:val="ListParagraph"/>
        <w:numPr>
          <w:ilvl w:val="0"/>
          <w:numId w:val="2"/>
        </w:numPr>
        <w:spacing w:after="60" w:before="40"/>
      </w:pPr>
      <w:r>
        <w:rPr>
          <w:rFonts w:ascii="Arial" w:cs="Arial" w:eastAsia="Arial" w:hAnsi="Arial"/>
          <w:sz w:val="22"/>
          <w:szCs w:val="22"/>
        </w:rPr>
        <w:t xml:space="preserve">File Articles of Incorporation for BOTH entities: ORS Ch.65 nonprofit corporation (501(c)(3)) + ORS Ch.62 worker cooperative ($50 filing fee each)</w:t>
      </w:r>
    </w:p>
    <w:p>
      <w:pPr>
        <w:pStyle w:val="ListParagraph"/>
        <w:numPr>
          <w:ilvl w:val="0"/>
          <w:numId w:val="2"/>
        </w:numPr>
        <w:spacing w:after="60" w:before="40"/>
      </w:pPr>
      <w:r>
        <w:rPr>
          <w:rFonts w:ascii="Arial" w:cs="Arial" w:eastAsia="Arial" w:hAnsi="Arial"/>
          <w:sz w:val="22"/>
          <w:szCs w:val="22"/>
        </w:rPr>
        <w:t xml:space="preserve">Engage Oregon nonprofit attorney to review Articles and Bylaws (estimated $1,500–$3,000)</w:t>
      </w:r>
    </w:p>
    <w:p>
      <w:pPr>
        <w:pStyle w:val="ListParagraph"/>
        <w:numPr>
          <w:ilvl w:val="0"/>
          <w:numId w:val="2"/>
        </w:numPr>
        <w:spacing w:after="60" w:before="40"/>
      </w:pPr>
      <w:r>
        <w:rPr>
          <w:rFonts w:ascii="Arial" w:cs="Arial" w:eastAsia="Arial" w:hAnsi="Arial"/>
          <w:sz w:val="22"/>
          <w:szCs w:val="22"/>
        </w:rPr>
        <w:t xml:space="preserve">Designate a registered agent with a Lane County physical address</w:t>
      </w:r>
    </w:p>
    <w:p>
      <w:pPr>
        <w:pStyle w:val="ListParagraph"/>
        <w:numPr>
          <w:ilvl w:val="0"/>
          <w:numId w:val="2"/>
        </w:numPr>
        <w:spacing w:after="60" w:before="40"/>
      </w:pPr>
      <w:r>
        <w:rPr>
          <w:rFonts w:ascii="Arial" w:cs="Arial" w:eastAsia="Arial" w:hAnsi="Arial"/>
          <w:sz w:val="22"/>
          <w:szCs w:val="22"/>
        </w:rPr>
        <w:t xml:space="preserve">Apply for Federal EIN via IRS Form SS-4 — free, online, immediate</w:t>
      </w:r>
    </w:p>
    <w:p>
      <w:pPr>
        <w:pStyle w:val="ListParagraph"/>
        <w:numPr>
          <w:ilvl w:val="0"/>
          <w:numId w:val="2"/>
        </w:numPr>
        <w:spacing w:after="60" w:before="40"/>
      </w:pPr>
      <w:r>
        <w:rPr>
          <w:rFonts w:ascii="Arial" w:cs="Arial" w:eastAsia="Arial" w:hAnsi="Arial"/>
          <w:sz w:val="22"/>
          <w:szCs w:val="22"/>
        </w:rPr>
        <w:t xml:space="preserve">Open bank account at OCCU or SELCO using EIN and adopted Bylaws</w:t>
      </w:r>
    </w:p>
    <w:p>
      <w:pPr>
        <w:pStyle w:val="ListParagraph"/>
        <w:numPr>
          <w:ilvl w:val="0"/>
          <w:numId w:val="2"/>
        </w:numPr>
        <w:spacing w:after="60" w:before="40"/>
      </w:pPr>
      <w:r>
        <w:rPr>
          <w:rFonts w:ascii="Arial" w:cs="Arial" w:eastAsia="Arial" w:hAnsi="Arial"/>
          <w:sz w:val="22"/>
          <w:szCs w:val="22"/>
        </w:rPr>
        <w:t xml:space="preserve">File for 501(c)(3) nonprofit entity status via IRS Form 1023 and register ORS Ch.62 worker cooperative — dual-entity formation; operations can begin immediately</w:t>
      </w:r>
    </w:p>
    <w:p>
      <w:pPr>
        <w:spacing w:after="0" w:before="120"/>
      </w:pPr>
      <w:r>
        <w:t xml:space="preserve"/>
      </w:r>
    </w:p>
    <w:p>
      <w:pPr>
        <w:spacing w:after="80" w:before="180"/>
      </w:pPr>
      <w:r>
        <w:rPr>
          <w:rFonts w:ascii="Arial" w:cs="Arial" w:eastAsia="Arial" w:hAnsi="Arial"/>
          <w:b/>
          <w:bCs/>
          <w:color w:val="0B3D6B"/>
          <w:sz w:val="22"/>
          <w:szCs w:val="22"/>
        </w:rPr>
        <w:t xml:space="preserve">Step 2: Identify Five Founding Council Members (Weeks 1–4)  ·  Cost: $0</w:t>
      </w:r>
    </w:p>
    <w:p>
      <w:pPr>
        <w:spacing w:after="120" w:before="60"/>
        <w:jc w:val="left"/>
      </w:pPr>
      <w:r>
        <w:rPr>
          <w:rFonts w:ascii="Arial" w:cs="Arial" w:eastAsia="Arial" w:hAnsi="Arial"/>
          <w:b w:val="false"/>
          <w:bCs w:val="false"/>
          <w:i w:val="false"/>
          <w:iCs w:val="false"/>
          <w:color w:val="1C1C1A"/>
          <w:sz w:val="22"/>
          <w:szCs w:val="22"/>
        </w:rPr>
        <w:t xml:space="preserve">The Governing Council is the democratic engine of the cooperative. Five founding members are needed before the first Organizational Member election. Recruiting criteria:</w:t>
      </w:r>
    </w:p>
    <w:p>
      <w:pPr>
        <w:pStyle w:val="ListParagraph"/>
        <w:numPr>
          <w:ilvl w:val="0"/>
          <w:numId w:val="2"/>
        </w:numPr>
        <w:spacing w:after="60" w:before="40"/>
      </w:pPr>
      <w:r>
        <w:rPr>
          <w:rFonts w:ascii="Arial" w:cs="Arial" w:eastAsia="Arial" w:hAnsi="Arial"/>
          <w:sz w:val="22"/>
          <w:szCs w:val="22"/>
        </w:rPr>
        <w:t xml:space="preserve">At least one member with AI/technology competency (required for AI Governance Oversight Officer seat)</w:t>
      </w:r>
    </w:p>
    <w:p>
      <w:pPr>
        <w:pStyle w:val="ListParagraph"/>
        <w:numPr>
          <w:ilvl w:val="0"/>
          <w:numId w:val="2"/>
        </w:numPr>
        <w:spacing w:after="60" w:before="40"/>
      </w:pPr>
      <w:r>
        <w:rPr>
          <w:rFonts w:ascii="Arial" w:cs="Arial" w:eastAsia="Arial" w:hAnsi="Arial"/>
          <w:sz w:val="22"/>
          <w:szCs w:val="22"/>
        </w:rPr>
        <w:t xml:space="preserve">At least one member with nonprofit finance or accounting background</w:t>
      </w:r>
    </w:p>
    <w:p>
      <w:pPr>
        <w:pStyle w:val="ListParagraph"/>
        <w:numPr>
          <w:ilvl w:val="0"/>
          <w:numId w:val="2"/>
        </w:numPr>
        <w:spacing w:after="60" w:before="40"/>
      </w:pPr>
      <w:r>
        <w:rPr>
          <w:rFonts w:ascii="Arial" w:cs="Arial" w:eastAsia="Arial" w:hAnsi="Arial"/>
          <w:sz w:val="22"/>
          <w:szCs w:val="22"/>
        </w:rPr>
        <w:t xml:space="preserve">At least one member with deep Lane County community relationships</w:t>
      </w:r>
    </w:p>
    <w:p>
      <w:pPr>
        <w:pStyle w:val="ListParagraph"/>
        <w:numPr>
          <w:ilvl w:val="0"/>
          <w:numId w:val="2"/>
        </w:numPr>
        <w:spacing w:after="60" w:before="40"/>
      </w:pPr>
      <w:r>
        <w:rPr>
          <w:rFonts w:ascii="Arial" w:cs="Arial" w:eastAsia="Arial" w:hAnsi="Arial"/>
          <w:sz w:val="22"/>
          <w:szCs w:val="22"/>
        </w:rPr>
        <w:t xml:space="preserve">Geographic and demographic representation across Eugene and Springfield</w:t>
      </w:r>
    </w:p>
    <w:p>
      <w:pPr>
        <w:pStyle w:val="ListParagraph"/>
        <w:numPr>
          <w:ilvl w:val="0"/>
          <w:numId w:val="2"/>
        </w:numPr>
        <w:spacing w:after="60" w:before="40"/>
      </w:pPr>
      <w:r>
        <w:rPr>
          <w:rFonts w:ascii="Arial" w:cs="Arial" w:eastAsia="Arial" w:hAnsi="Arial"/>
          <w:sz w:val="22"/>
          <w:szCs w:val="22"/>
        </w:rPr>
        <w:t xml:space="preserve">Strong preference for lived experience of the economic conditions HAC-ES addresses</w:t>
      </w:r>
    </w:p>
    <w:p>
      <w:pPr>
        <w:spacing w:after="0" w:before="120"/>
      </w:pPr>
      <w:r>
        <w:t xml:space="preserve"/>
      </w:r>
    </w:p>
    <w:p>
      <w:pPr>
        <w:spacing w:after="80" w:before="180"/>
      </w:pPr>
      <w:r>
        <w:rPr>
          <w:rFonts w:ascii="Arial" w:cs="Arial" w:eastAsia="Arial" w:hAnsi="Arial"/>
          <w:b/>
          <w:bCs/>
          <w:color w:val="0B3D6B"/>
          <w:sz w:val="22"/>
          <w:szCs w:val="22"/>
        </w:rPr>
        <w:t xml:space="preserve">Step 3: Recruit Three Founding Organizational Members (Weeks 2–6)  ·  Cost: $0</w:t>
      </w:r>
    </w:p>
    <w:p>
      <w:pPr>
        <w:spacing w:after="120" w:before="60"/>
        <w:jc w:val="left"/>
      </w:pPr>
      <w:r>
        <w:rPr>
          <w:rFonts w:ascii="Arial" w:cs="Arial" w:eastAsia="Arial" w:hAnsi="Arial"/>
          <w:b w:val="false"/>
          <w:bCs w:val="false"/>
          <w:i w:val="false"/>
          <w:iCs w:val="false"/>
          <w:color w:val="1C1C1A"/>
          <w:sz w:val="22"/>
          <w:szCs w:val="22"/>
        </w:rPr>
        <w:t xml:space="preserve">The founding Organizational Members provide the service delivery network that makes benefits possible from Day 1. Target the first three in sequence:</w:t>
      </w:r>
    </w:p>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4080"/>
      </w:tblGrid>
      <w:tr>
        <w:trPr>
          <w:tblHeader/>
        </w:trPr>
        <w:tc>
          <w:tcPr>
            <w:tcW w:type="dxa" w:w="30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Organization</w:t>
            </w:r>
          </w:p>
        </w:tc>
        <w:tc>
          <w:tcPr>
            <w:tcW w:type="dxa" w:w="30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Why First</w:t>
            </w:r>
          </w:p>
        </w:tc>
        <w:tc>
          <w:tcPr>
            <w:tcW w:type="dxa" w:w="408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What They Provide</w:t>
            </w:r>
          </w:p>
        </w:tc>
      </w:tr>
      <w:tr>
        <w:tc>
          <w:tcPr>
            <w:tcW w:type="dxa" w:w="30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b/>
                <w:bCs/>
                <w:color w:val="0B3D6B"/>
                <w:sz w:val="20"/>
                <w:szCs w:val="20"/>
              </w:rPr>
              <w:t xml:space="preserve">Oregon New Economy Project</w:t>
            </w:r>
          </w:p>
        </w:tc>
        <w:tc>
          <w:tcPr>
            <w:tcW w:type="dxa" w:w="300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Strongest philosophical alignment; validates cooperative model to all others</w:t>
            </w:r>
          </w:p>
        </w:tc>
        <w:tc>
          <w:tcPr>
            <w:tcW w:type="dxa" w:w="4080"/>
            <w:tcBorders>
              <w:top w:val="single" w:color="CCCCCC" w:sz="1"/>
              <w:left w:val="single" w:color="CCCCCC" w:sz="1"/>
              <w:bottom w:val="single" w:color="CCCCCC" w:sz="1"/>
              <w:right w:val="single" w:color="CCCCCC" w:sz="1"/>
            </w:tcBorders>
            <w:shd w:fill="E6F0FA" w:val="clear"/>
            <w:tcMar>
              <w:top w:type="dxa" w:w="80"/>
              <w:left w:type="dxa" w:w="120"/>
              <w:bottom w:type="dxa" w:w="80"/>
              <w:right w:type="dxa" w:w="120"/>
            </w:tcMar>
          </w:tcPr>
          <w:p>
            <w:r>
              <w:rPr>
                <w:rFonts w:ascii="Arial" w:cs="Arial" w:eastAsia="Arial" w:hAnsi="Arial"/>
                <w:sz w:val="20"/>
                <w:szCs w:val="20"/>
              </w:rPr>
              <w:t xml:space="preserve">Cooperative conversion pipeline; worker ownership education; statewide network credibility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B3D6B"/>
                <w:sz w:val="20"/>
                <w:szCs w:val="20"/>
              </w:rPr>
              <w:t xml:space="preserve">SVdP Lane County</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Largest human services network in Lane County; makes P1/P2 delivery immediately real</w:t>
            </w:r>
          </w:p>
        </w:tc>
        <w:tc>
          <w:tcPr>
            <w:tcW w:type="dxa" w:w="40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Food, housing, emergency services; 1,700+ affordable units; social enterprise model</w:t>
            </w:r>
          </w:p>
        </w:tc>
      </w:tr>
      <w:tr>
        <w:tc>
          <w:tcPr>
            <w:tcW w:type="dxa" w:w="3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074D3A"/>
                <w:sz w:val="20"/>
                <w:szCs w:val="20"/>
              </w:rPr>
              <w:t xml:space="preserve">Lane Workforce Partnership</w:t>
            </w:r>
          </w:p>
        </w:tc>
        <w:tc>
          <w:tcPr>
            <w:tcW w:type="dxa" w:w="3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sz w:val="20"/>
                <w:szCs w:val="20"/>
              </w:rPr>
              <w:t xml:space="preserve">Holds WIOA federal funds — the largest single early funding source for HAC-ES</w:t>
            </w:r>
          </w:p>
        </w:tc>
        <w:tc>
          <w:tcPr>
            <w:tcW w:type="dxa" w:w="408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sz w:val="20"/>
                <w:szCs w:val="20"/>
              </w:rPr>
              <w:t xml:space="preserve">Federal workforce funding; job placement network; skills training co-investment</w:t>
            </w:r>
          </w:p>
        </w:tc>
      </w:tr>
    </w:tbl>
    <w:p>
      <w:pPr>
        <w:spacing w:after="0" w:before="120"/>
      </w:pPr>
      <w:r>
        <w:t xml:space="preserve"/>
      </w:r>
    </w:p>
    <w:p>
      <w:pPr>
        <w:spacing w:after="80" w:before="180"/>
      </w:pPr>
      <w:r>
        <w:rPr>
          <w:rFonts w:ascii="Arial" w:cs="Arial" w:eastAsia="Arial" w:hAnsi="Arial"/>
          <w:b/>
          <w:bCs/>
          <w:color w:val="0B3D6B"/>
          <w:sz w:val="22"/>
          <w:szCs w:val="22"/>
        </w:rPr>
        <w:t xml:space="preserve">Step 4: Launch HAIS Phase 1 (Weeks 2–6)  ·  Cost: $3,000–$8,000</w:t>
      </w:r>
    </w:p>
    <w:p>
      <w:pPr>
        <w:spacing w:after="120" w:before="60"/>
        <w:jc w:val="left"/>
      </w:pPr>
      <w:r>
        <w:rPr>
          <w:rFonts w:ascii="Arial" w:cs="Arial" w:eastAsia="Arial" w:hAnsi="Arial"/>
          <w:b w:val="false"/>
          <w:bCs w:val="false"/>
          <w:i w:val="false"/>
          <w:iCs w:val="false"/>
          <w:color w:val="1C1C1A"/>
          <w:sz w:val="22"/>
          <w:szCs w:val="22"/>
        </w:rPr>
        <w:t xml:space="preserve">HAIS Phase 1 is administrative only — no autonomous AI decisions yet. It is a secure database, a communication system, and a grant monitoring tool. It can be built quickly using existing open-source and API tools:</w:t>
      </w:r>
    </w:p>
    <w:p>
      <w:pPr>
        <w:pStyle w:val="ListParagraph"/>
        <w:numPr>
          <w:ilvl w:val="0"/>
          <w:numId w:val="2"/>
        </w:numPr>
        <w:spacing w:after="60" w:before="40"/>
      </w:pPr>
      <w:r>
        <w:rPr>
          <w:rFonts w:ascii="Arial" w:cs="Arial" w:eastAsia="Arial" w:hAnsi="Arial"/>
          <w:sz w:val="22"/>
          <w:szCs w:val="22"/>
        </w:rPr>
        <w:t xml:space="preserve">Member Registry: Supabase (free tier) + simple web intake form. Stores profiles, contribution status, good-standing flags.</w:t>
      </w:r>
    </w:p>
    <w:p>
      <w:pPr>
        <w:pStyle w:val="ListParagraph"/>
        <w:numPr>
          <w:ilvl w:val="0"/>
          <w:numId w:val="2"/>
        </w:numPr>
        <w:spacing w:after="60" w:before="40"/>
      </w:pPr>
      <w:r>
        <w:rPr>
          <w:rFonts w:ascii="Arial" w:cs="Arial" w:eastAsia="Arial" w:hAnsi="Arial"/>
          <w:sz w:val="22"/>
          <w:szCs w:val="22"/>
        </w:rPr>
        <w:t xml:space="preserve">Communications Engine: SendGrid ($0–$20/month) for member emails, automated reminders, meeting notices.</w:t>
      </w:r>
    </w:p>
    <w:p>
      <w:pPr>
        <w:pStyle w:val="ListParagraph"/>
        <w:numPr>
          <w:ilvl w:val="0"/>
          <w:numId w:val="2"/>
        </w:numPr>
        <w:spacing w:after="60" w:before="40"/>
      </w:pPr>
      <w:r>
        <w:rPr>
          <w:rFonts w:ascii="Arial" w:cs="Arial" w:eastAsia="Arial" w:hAnsi="Arial"/>
          <w:sz w:val="22"/>
          <w:szCs w:val="22"/>
        </w:rPr>
        <w:t xml:space="preserve">Grant Intelligence: Claude API + simple prompt chain monitors foundation databases weekly and scores alignment. Cost: $50–$150/month at Phase 1 volume.</w:t>
      </w:r>
    </w:p>
    <w:p>
      <w:pPr>
        <w:pStyle w:val="ListParagraph"/>
        <w:numPr>
          <w:ilvl w:val="0"/>
          <w:numId w:val="2"/>
        </w:numPr>
        <w:spacing w:after="60" w:before="40"/>
      </w:pPr>
      <w:r>
        <w:rPr>
          <w:rFonts w:ascii="Arial" w:cs="Arial" w:eastAsia="Arial" w:hAnsi="Arial"/>
          <w:sz w:val="22"/>
          <w:szCs w:val="22"/>
        </w:rPr>
        <w:t xml:space="preserve">Public Website: The HAC-ES_Website.html (already built) deployed to a $5/month DigitalOcean droplet or Netlify free tier.</w:t>
      </w:r>
    </w:p>
    <w:p>
      <w:pPr>
        <w:spacing w:after="0" w:before="60"/>
      </w:pPr>
      <w:r>
        <w:t xml:space="preserve"/>
      </w:r>
    </w:p>
    <w:p>
      <w:pPr>
        <w:spacing w:after="120" w:before="60"/>
        <w:jc w:val="left"/>
      </w:pPr>
      <w:r>
        <w:rPr>
          <w:rFonts w:ascii="Arial" w:cs="Arial" w:eastAsia="Arial" w:hAnsi="Arial"/>
          <w:b w:val="false"/>
          <w:bCs w:val="false"/>
          <w:i w:val="false"/>
          <w:iCs w:val="false"/>
          <w:color w:val="1C1C1A"/>
          <w:sz w:val="22"/>
          <w:szCs w:val="22"/>
        </w:rPr>
        <w:t xml:space="preserve">Total Phase 1 HAIS running cost: approximately $100–$300/month. This is the operational heartbeat of the cooperative from Day 1.</w:t>
      </w:r>
    </w:p>
    <w:p>
      <w:pPr>
        <w:spacing w:after="0" w:before="120"/>
      </w:pPr>
      <w:r>
        <w:t xml:space="preserve"/>
      </w:r>
    </w:p>
    <w:p>
      <w:pPr>
        <w:spacing w:after="80" w:before="180"/>
      </w:pPr>
      <w:r>
        <w:rPr>
          <w:rFonts w:ascii="Arial" w:cs="Arial" w:eastAsia="Arial" w:hAnsi="Arial"/>
          <w:b/>
          <w:bCs/>
          <w:color w:val="0B3D6B"/>
          <w:sz w:val="22"/>
          <w:szCs w:val="22"/>
        </w:rPr>
        <w:t xml:space="preserve">Step 5: Enroll First 100 Individual Members (Weeks 4–12)  ·  Cost: $15,000–$25,000</w:t>
      </w:r>
    </w:p>
    <w:p>
      <w:pPr>
        <w:spacing w:after="120" w:before="60"/>
        <w:jc w:val="left"/>
      </w:pPr>
      <w:r>
        <w:rPr>
          <w:rFonts w:ascii="Arial" w:cs="Arial" w:eastAsia="Arial" w:hAnsi="Arial"/>
          <w:b w:val="false"/>
          <w:bCs w:val="false"/>
          <w:i w:val="false"/>
          <w:iCs w:val="false"/>
          <w:color w:val="1C1C1A"/>
          <w:sz w:val="22"/>
          <w:szCs w:val="22"/>
        </w:rPr>
        <w:t xml:space="preserve">The first 100 members are the proof of concept. Target enrollment in three cohorts of approximately 33 each:</w:t>
      </w:r>
    </w:p>
    <w:p>
      <w:pPr>
        <w:spacing w:after="0" w:before="60"/>
      </w:pPr>
      <w:r>
        <w:t xml:space="preserve"/>
      </w:r>
    </w:p>
    <w:p>
      <w:pPr>
        <w:pStyle w:val="ListParagraph"/>
        <w:numPr>
          <w:ilvl w:val="0"/>
          <w:numId w:val="2"/>
        </w:numPr>
        <w:spacing w:after="60" w:before="40"/>
      </w:pPr>
      <w:r>
        <w:rPr>
          <w:rFonts w:ascii="Arial" w:cs="Arial" w:eastAsia="Arial" w:hAnsi="Arial"/>
          <w:sz w:val="22"/>
          <w:szCs w:val="22"/>
        </w:rPr>
        <w:t xml:space="preserve">Cohort A — Highest need: Referred by SVdP Lane County and Lane Workforce Partnership. These members immediately test P1/P2 Fund deployment. Membership cost: $0 (hardship waiver).</w:t>
      </w:r>
    </w:p>
    <w:p>
      <w:pPr>
        <w:pStyle w:val="ListParagraph"/>
        <w:numPr>
          <w:ilvl w:val="0"/>
          <w:numId w:val="2"/>
        </w:numPr>
        <w:spacing w:after="60" w:before="40"/>
      </w:pPr>
      <w:r>
        <w:rPr>
          <w:rFonts w:ascii="Arial" w:cs="Arial" w:eastAsia="Arial" w:hAnsi="Arial"/>
          <w:sz w:val="22"/>
          <w:szCs w:val="22"/>
        </w:rPr>
        <w:t xml:space="preserve">Cohort B — Working and middle income: Recruited through OCCU/SELCO member networks and Hatch Oregon. These members begin contributing to the Fund at Community or Supporter tiers ($60–$120/year).</w:t>
      </w:r>
    </w:p>
    <w:p>
      <w:pPr>
        <w:pStyle w:val="ListParagraph"/>
        <w:numPr>
          <w:ilvl w:val="0"/>
          <w:numId w:val="2"/>
        </w:numPr>
        <w:spacing w:after="60" w:before="40"/>
      </w:pPr>
      <w:r>
        <w:rPr>
          <w:rFonts w:ascii="Arial" w:cs="Arial" w:eastAsia="Arial" w:hAnsi="Arial"/>
          <w:sz w:val="22"/>
          <w:szCs w:val="22"/>
        </w:rPr>
        <w:t xml:space="preserve">Cohort C — Upper income and founding patrons: Recruited through CEDO business network and Collaborative EDO. Founding Patron tier ($1,000/year). These 10–20 members alone contribute $10,000–$20,000 to seed the Fund in Year 1.</w:t>
      </w:r>
    </w:p>
    <w:p>
      <w:pPr>
        <w:spacing w:after="0" w:before="6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B3D6B" w:sz="4"/>
              <w:left w:val="single" w:color="0B3D6B" w:sz="4"/>
              <w:bottom w:val="single" w:color="0B3D6B" w:sz="4"/>
              <w:right w:val="single" w:color="0B3D6B" w:sz="4"/>
            </w:tcBorders>
            <w:shd w:fill="E6F0FA" w:val="clear"/>
            <w:tcMar>
              <w:top w:type="dxa" w:w="120"/>
              <w:left w:type="dxa" w:w="200"/>
              <w:bottom w:type="dxa" w:w="120"/>
              <w:right w:type="dxa" w:w="200"/>
            </w:tcMar>
          </w:tcPr>
          <w:p>
            <w:pPr>
              <w:spacing w:after="0" w:before="0"/>
            </w:pPr>
            <w:r>
              <w:rPr>
                <w:rFonts w:ascii="Arial" w:cs="Arial" w:eastAsia="Arial" w:hAnsi="Arial"/>
                <w:color w:val="1C1C1A"/>
                <w:sz w:val="22"/>
                <w:szCs w:val="22"/>
              </w:rPr>
              <w:t xml:space="preserve">The first 100 members should be deliberately mixed across income levels. A cooperative of only low-income members has no capitalization base. A cooperative of only high-income members has no mission. The diversity of the founding cohort is the proof that the model works.</w:t>
            </w:r>
          </w:p>
        </w:tc>
      </w:tr>
    </w:tbl>
    <w:p>
      <w:pPr>
        <w:spacing w:after="0" w:before="120"/>
      </w:pPr>
      <w:r>
        <w:t xml:space="preserve"/>
      </w:r>
    </w:p>
    <w:p>
      <w:pPr>
        <w:spacing w:after="80" w:before="180"/>
      </w:pPr>
      <w:r>
        <w:rPr>
          <w:rFonts w:ascii="Arial" w:cs="Arial" w:eastAsia="Arial" w:hAnsi="Arial"/>
          <w:b/>
          <w:bCs/>
          <w:color w:val="0B3D6B"/>
          <w:sz w:val="22"/>
          <w:szCs w:val="22"/>
        </w:rPr>
        <w:t xml:space="preserve">Step 6: File First Grant Applications (Weeks 6–12)  ·  Cost: $0 (HAIS drafts)</w:t>
      </w:r>
    </w:p>
    <w:p>
      <w:pPr>
        <w:spacing w:after="120" w:before="60"/>
        <w:jc w:val="left"/>
      </w:pPr>
      <w:r>
        <w:rPr>
          <w:rFonts w:ascii="Arial" w:cs="Arial" w:eastAsia="Arial" w:hAnsi="Arial"/>
          <w:b w:val="false"/>
          <w:bCs w:val="false"/>
          <w:i w:val="false"/>
          <w:iCs w:val="false"/>
          <w:color w:val="1C1C1A"/>
          <w:sz w:val="22"/>
          <w:szCs w:val="22"/>
        </w:rPr>
        <w:t xml:space="preserve">The HAIS Grant Intelligence module identifies and drafts applications continuously. The first priority grants:</w:t>
      </w:r>
    </w:p>
    <w:p>
      <w:pPr>
        <w:spacing w:after="0" w:before="60"/>
      </w:pPr>
      <w:r>
        <w:t xml:space="preserve"/>
      </w:r>
    </w:p>
    <w:p>
      <w:pPr>
        <w:pStyle w:val="ListParagraph"/>
        <w:numPr>
          <w:ilvl w:val="0"/>
          <w:numId w:val="2"/>
        </w:numPr>
        <w:spacing w:after="60" w:before="40"/>
      </w:pPr>
      <w:r>
        <w:rPr>
          <w:rFonts w:ascii="Arial" w:cs="Arial" w:eastAsia="Arial" w:hAnsi="Arial"/>
          <w:sz w:val="22"/>
          <w:szCs w:val="22"/>
        </w:rPr>
        <w:t xml:space="preserve">Oregon Community Foundation — Lane County workforce development: $50,000–$150,000. Highest probability early funder. Apply by Month 2.</w:t>
      </w:r>
    </w:p>
    <w:p>
      <w:pPr>
        <w:pStyle w:val="ListParagraph"/>
        <w:numPr>
          <w:ilvl w:val="0"/>
          <w:numId w:val="2"/>
        </w:numPr>
        <w:spacing w:after="60" w:before="40"/>
      </w:pPr>
      <w:r>
        <w:rPr>
          <w:rFonts w:ascii="Arial" w:cs="Arial" w:eastAsia="Arial" w:hAnsi="Arial"/>
          <w:sz w:val="22"/>
          <w:szCs w:val="22"/>
        </w:rPr>
        <w:t xml:space="preserve">Lane County Community Development Grant: $20,000–$75,000. Local government economic development. Apply by Month 3.</w:t>
      </w:r>
    </w:p>
    <w:p>
      <w:pPr>
        <w:pStyle w:val="ListParagraph"/>
        <w:numPr>
          <w:ilvl w:val="0"/>
          <w:numId w:val="2"/>
        </w:numPr>
        <w:spacing w:after="60" w:before="40"/>
      </w:pPr>
      <w:r>
        <w:rPr>
          <w:rFonts w:ascii="Arial" w:cs="Arial" w:eastAsia="Arial" w:hAnsi="Arial"/>
          <w:sz w:val="22"/>
          <w:szCs w:val="22"/>
        </w:rPr>
        <w:t xml:space="preserve">WIOA Title I co-investment (via Lane Workforce Partnership Organizational Membership): $100,000–$300,000. Requires LWP partnership to be formalized first.</w:t>
      </w:r>
    </w:p>
    <w:p>
      <w:pPr>
        <w:pStyle w:val="ListParagraph"/>
        <w:numPr>
          <w:ilvl w:val="0"/>
          <w:numId w:val="2"/>
        </w:numPr>
        <w:spacing w:after="60" w:before="40"/>
      </w:pPr>
      <w:r>
        <w:rPr>
          <w:rFonts w:ascii="Arial" w:cs="Arial" w:eastAsia="Arial" w:hAnsi="Arial"/>
          <w:sz w:val="22"/>
          <w:szCs w:val="22"/>
        </w:rPr>
        <w:t xml:space="preserve">MacArthur Foundation Just Economies: $200,000–$500,000 (first LOI). Timeline 6–9 months.</w:t>
      </w:r>
    </w:p>
    <w:p>
      <w:pPr>
        <w:spacing w:after="0" w:before="200"/>
      </w:pPr>
      <w:r>
        <w:t xml:space="preserve"/>
      </w:r>
    </w:p>
    <w:p>
      <w:r>
        <w:br w:type="page"/>
      </w:r>
    </w:p>
    <w:p>
      <w:pPr>
        <w:pStyle w:val="Heading1"/>
        <w:spacing w:after="160" w:before="320"/>
      </w:pPr>
      <w:r>
        <w:rPr>
          <w:rFonts w:ascii="Arial" w:cs="Arial" w:eastAsia="Arial" w:hAnsi="Arial"/>
          <w:b/>
          <w:bCs/>
          <w:color w:val="0B3D6B"/>
          <w:sz w:val="34"/>
          <w:szCs w:val="34"/>
        </w:rPr>
        <w:t xml:space="preserve">PART III — THE PATH OF GROWTH</w:t>
      </w:r>
    </w:p>
    <w:p>
      <w:pPr>
        <w:pBdr>
          <w:bottom w:val="single" w:color="0B3D6B" w:sz="6" w:space="1"/>
        </w:pBdr>
        <w:spacing w:after="0" w:before="0"/>
      </w:pPr>
      <w:r>
        <w:t xml:space="preserve"/>
      </w:r>
    </w:p>
    <w:p>
      <w:pPr>
        <w:spacing w:after="0" w:before="100"/>
      </w:pPr>
      <w:r>
        <w:t xml:space="preserve"/>
      </w:r>
    </w:p>
    <w:p>
      <w:pPr>
        <w:spacing w:after="120" w:before="60"/>
        <w:jc w:val="left"/>
      </w:pPr>
      <w:r>
        <w:rPr>
          <w:rFonts w:ascii="Arial" w:cs="Arial" w:eastAsia="Arial" w:hAnsi="Arial"/>
          <w:b w:val="false"/>
          <w:bCs w:val="false"/>
          <w:i w:val="false"/>
          <w:iCs w:val="false"/>
          <w:color w:val="1C1C1A"/>
          <w:sz w:val="22"/>
          <w:szCs w:val="22"/>
        </w:rPr>
        <w:t xml:space="preserve">HAC-ES grows through four phases. Each phase builds the foundation for the next. Growth is not linear — it is compounding, because each new member and Organizational Member makes the network more valuable for every existing member.</w:t>
      </w:r>
    </w:p>
    <w:p>
      <w:pPr>
        <w:spacing w:after="0" w:before="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B3D6B" w:val="clear"/>
            <w:tcMar>
              <w:top w:type="dxa" w:w="220"/>
              <w:left w:type="dxa" w:w="400"/>
              <w:bottom w:type="dxa" w:w="220"/>
              <w:right w:type="dxa" w:w="400"/>
            </w:tcMar>
          </w:tcPr>
          <w:p>
            <w:pPr>
              <w:spacing w:after="60" w:before="0"/>
            </w:pPr>
            <w:r>
              <w:rPr>
                <w:rFonts w:ascii="Arial" w:cs="Arial" w:eastAsia="Arial" w:hAnsi="Arial"/>
                <w:b/>
                <w:bCs/>
                <w:color w:val="FFFFFF"/>
                <w:sz w:val="36"/>
                <w:szCs w:val="36"/>
              </w:rPr>
              <w:t xml:space="preserve">PHASE 1 — FOUNDATION</w:t>
            </w:r>
          </w:p>
          <w:p>
            <w:pPr>
              <w:spacing w:after="40" w:before="0"/>
            </w:pPr>
            <w:r>
              <w:rPr>
                <w:rFonts w:ascii="Arial" w:cs="Arial" w:eastAsia="Arial" w:hAnsi="Arial"/>
                <w:color w:val="CCDDEE"/>
                <w:sz w:val="21"/>
                <w:szCs w:val="21"/>
              </w:rPr>
              <w:t xml:space="preserve">2026  ·  Months 1–6  ·  50 Individual Members  ·  3–5 Org Members</w:t>
            </w:r>
          </w:p>
          <w:p>
            <w:pPr>
              <w:spacing w:after="0" w:before="0"/>
            </w:pPr>
            <w:r>
              <w:rPr>
                <w:rFonts w:ascii="Arial" w:cs="Arial" w:eastAsia="Arial" w:hAnsi="Arial"/>
                <w:b/>
                <w:bCs/>
                <w:color w:val="1AAF7A"/>
                <w:sz w:val="20"/>
                <w:szCs w:val="20"/>
              </w:rPr>
              <w:t xml:space="preserve">Budget: $27,000–$50,000 launch capital</w:t>
            </w:r>
          </w:p>
        </w:tc>
      </w:tr>
    </w:tbl>
    <w:p>
      <w:pPr>
        <w:spacing w:after="0" w:before="80"/>
      </w:pPr>
      <w:r>
        <w:t xml:space="preserve"/>
      </w:r>
    </w:p>
    <w:p>
      <w:pPr>
        <w:spacing w:after="80" w:before="180"/>
      </w:pPr>
      <w:r>
        <w:rPr>
          <w:rFonts w:ascii="Arial" w:cs="Arial" w:eastAsia="Arial" w:hAnsi="Arial"/>
          <w:b/>
          <w:bCs/>
          <w:color w:val="0B3D6B"/>
          <w:sz w:val="22"/>
          <w:szCs w:val="22"/>
        </w:rPr>
        <w:t xml:space="preserve">The Goal: Prove the Model Works</w:t>
      </w:r>
    </w:p>
    <w:p>
      <w:pPr>
        <w:spacing w:after="120" w:before="60"/>
        <w:jc w:val="left"/>
      </w:pPr>
      <w:r>
        <w:rPr>
          <w:rFonts w:ascii="Arial" w:cs="Arial" w:eastAsia="Arial" w:hAnsi="Arial"/>
          <w:b w:val="false"/>
          <w:bCs w:val="false"/>
          <w:i w:val="false"/>
          <w:iCs w:val="false"/>
          <w:color w:val="1C1C1A"/>
          <w:sz w:val="22"/>
          <w:szCs w:val="22"/>
        </w:rPr>
        <w:t xml:space="preserve">Phase 1 is not about scale. It is about demonstrating that the cooperative structure functions — that basic needs can be met, that members value the cooperative, that Organizational Members see the benefit of partnership, and that the HAIS delivers what it promises at small scale before being trusted at large scale.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B3D6B" w:sz="16"/>
              <w:bottom w:val="none" w:color="FFFFFF" w:sz="0"/>
              <w:right w:val="none" w:color="FFFFFF" w:sz="0"/>
            </w:tcBorders>
            <w:shd w:fill="E6F0FA" w:val="clear"/>
            <w:tcMar>
              <w:top w:type="dxa" w:w="100"/>
              <w:left w:type="dxa" w:w="200"/>
              <w:bottom w:type="dxa" w:w="100"/>
              <w:right w:type="dxa" w:w="200"/>
            </w:tcMar>
          </w:tcPr>
          <w:p>
            <w:pPr>
              <w:pStyle w:val="ListParagraph"/>
              <w:numPr>
                <w:ilvl w:val="0"/>
                <w:numId w:val="2"/>
              </w:numPr>
              <w:spacing w:after="50" w:before="30"/>
            </w:pPr>
            <w:r>
              <w:rPr>
                <w:rFonts w:ascii="Arial" w:cs="Arial" w:eastAsia="Arial" w:hAnsi="Arial"/>
                <w:color w:val="1C1C1A"/>
                <w:sz w:val="20"/>
                <w:szCs w:val="20"/>
              </w:rPr>
              <w:t xml:space="preserve">Legal formation complete: Articles filed, EIN obtained, bank account open, 501(c)(3) nonprofit entity application submitted; ORS Ch.62 cooperative registered</w:t>
            </w:r>
          </w:p>
          <w:p>
            <w:pPr>
              <w:pStyle w:val="ListParagraph"/>
              <w:numPr>
                <w:ilvl w:val="0"/>
                <w:numId w:val="2"/>
              </w:numPr>
              <w:spacing w:after="50" w:before="30"/>
            </w:pPr>
            <w:r>
              <w:rPr>
                <w:rFonts w:ascii="Arial" w:cs="Arial" w:eastAsia="Arial" w:hAnsi="Arial"/>
                <w:color w:val="1C1C1A"/>
                <w:sz w:val="20"/>
                <w:szCs w:val="20"/>
              </w:rPr>
              <w:t xml:space="preserve">Governing Council elected: 11 members including 2 AI Governance Oversight Officers</w:t>
            </w:r>
          </w:p>
          <w:p>
            <w:pPr>
              <w:pStyle w:val="ListParagraph"/>
              <w:numPr>
                <w:ilvl w:val="0"/>
                <w:numId w:val="2"/>
              </w:numPr>
              <w:spacing w:after="50" w:before="30"/>
            </w:pPr>
            <w:r>
              <w:rPr>
                <w:rFonts w:ascii="Arial" w:cs="Arial" w:eastAsia="Arial" w:hAnsi="Arial"/>
                <w:color w:val="1C1C1A"/>
                <w:sz w:val="20"/>
                <w:szCs w:val="20"/>
              </w:rPr>
              <w:t xml:space="preserve">3–5 Founding Organizational Members signed: SVdP, LWP, Oregon New Economy Project minimum</w:t>
            </w:r>
          </w:p>
          <w:p>
            <w:pPr>
              <w:pStyle w:val="ListParagraph"/>
              <w:numPr>
                <w:ilvl w:val="0"/>
                <w:numId w:val="2"/>
              </w:numPr>
              <w:spacing w:after="50" w:before="30"/>
            </w:pPr>
            <w:r>
              <w:rPr>
                <w:rFonts w:ascii="Arial" w:cs="Arial" w:eastAsia="Arial" w:hAnsi="Arial"/>
                <w:color w:val="1C1C1A"/>
                <w:sz w:val="20"/>
                <w:szCs w:val="20"/>
              </w:rPr>
              <w:t xml:space="preserve">First 50 Individual Members enrolled across all income tiers</w:t>
            </w:r>
          </w:p>
          <w:p>
            <w:pPr>
              <w:pStyle w:val="ListParagraph"/>
              <w:numPr>
                <w:ilvl w:val="0"/>
                <w:numId w:val="2"/>
              </w:numPr>
              <w:spacing w:after="50" w:before="30"/>
            </w:pPr>
            <w:r>
              <w:rPr>
                <w:rFonts w:ascii="Arial" w:cs="Arial" w:eastAsia="Arial" w:hAnsi="Arial"/>
                <w:color w:val="1C1C1A"/>
                <w:sz w:val="20"/>
                <w:szCs w:val="20"/>
              </w:rPr>
              <w:t xml:space="preserve">HAIS Phase 1 live: member database, communications, grant monitoring operational</w:t>
            </w:r>
          </w:p>
          <w:p>
            <w:pPr>
              <w:pStyle w:val="ListParagraph"/>
              <w:numPr>
                <w:ilvl w:val="0"/>
                <w:numId w:val="2"/>
              </w:numPr>
              <w:spacing w:after="50" w:before="30"/>
            </w:pPr>
            <w:r>
              <w:rPr>
                <w:rFonts w:ascii="Arial" w:cs="Arial" w:eastAsia="Arial" w:hAnsi="Arial"/>
                <w:color w:val="1C1C1A"/>
                <w:sz w:val="20"/>
                <w:szCs w:val="20"/>
              </w:rPr>
              <w:t xml:space="preserve">First grant application submitted: OCF or Lane County CED within 60 days of formation</w:t>
            </w:r>
          </w:p>
          <w:p>
            <w:pPr>
              <w:pStyle w:val="ListParagraph"/>
              <w:numPr>
                <w:ilvl w:val="0"/>
                <w:numId w:val="2"/>
              </w:numPr>
              <w:spacing w:after="50" w:before="30"/>
            </w:pPr>
            <w:r>
              <w:rPr>
                <w:rFonts w:ascii="Arial" w:cs="Arial" w:eastAsia="Arial" w:hAnsi="Arial"/>
                <w:color w:val="1C1C1A"/>
                <w:sz w:val="20"/>
                <w:szCs w:val="20"/>
              </w:rPr>
              <w:t xml:space="preserve">First P1/P2 Fund deployments: basic needs floor activated for at least 10 members in acute need</w:t>
            </w:r>
          </w:p>
          <w:p>
            <w:pPr>
              <w:pStyle w:val="ListParagraph"/>
              <w:numPr>
                <w:ilvl w:val="0"/>
                <w:numId w:val="2"/>
              </w:numPr>
              <w:spacing w:after="50" w:before="30"/>
            </w:pPr>
            <w:r>
              <w:rPr>
                <w:rFonts w:ascii="Arial" w:cs="Arial" w:eastAsia="Arial" w:hAnsi="Arial"/>
                <w:color w:val="1C1C1A"/>
                <w:sz w:val="20"/>
                <w:szCs w:val="20"/>
              </w:rPr>
              <w:t xml:space="preserve">6-month impact report published: the cooperative's first proof of concept for grant funders</w:t>
            </w:r>
          </w:p>
        </w:tc>
      </w:tr>
    </w:tbl>
    <w:p>
      <w:pPr>
        <w:spacing w:after="0" w:before="80"/>
      </w:pPr>
      <w:r>
        <w:t xml:space="preserve"/>
      </w:r>
    </w:p>
    <w:p>
      <w:pPr>
        <w:spacing w:after="80" w:before="180"/>
      </w:pPr>
      <w:r>
        <w:rPr>
          <w:rFonts w:ascii="Arial" w:cs="Arial" w:eastAsia="Arial" w:hAnsi="Arial"/>
          <w:b/>
          <w:bCs/>
          <w:color w:val="0B3D6B"/>
          <w:sz w:val="22"/>
          <w:szCs w:val="22"/>
        </w:rPr>
        <w:t xml:space="preserve">Fund Status at Phase 1 End</w:t>
      </w:r>
    </w:p>
    <w:p>
      <w:pPr>
        <w:spacing w:after="120" w:before="60"/>
        <w:jc w:val="left"/>
      </w:pPr>
      <w:r>
        <w:rPr>
          <w:rFonts w:ascii="Arial" w:cs="Arial" w:eastAsia="Arial" w:hAnsi="Arial"/>
          <w:b w:val="false"/>
          <w:bCs w:val="false"/>
          <w:i w:val="false"/>
          <w:iCs w:val="false"/>
          <w:color w:val="1C1C1A"/>
          <w:sz w:val="22"/>
          <w:szCs w:val="22"/>
        </w:rPr>
        <w:t xml:space="preserve">Target: $50,000–$150,000 in the Human Asset Fund. Sources: Founding Patron membership fees (~$10,000–$20,000), first OCF or local grant ($30,000–$75,000), member contributions ($5,000–$10,000), first Community Investment Note offering (~$25,000–$50,000).</w:t>
      </w:r>
    </w:p>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1B5C9A" w:val="clear"/>
            <w:tcMar>
              <w:top w:type="dxa" w:w="220"/>
              <w:left w:type="dxa" w:w="400"/>
              <w:bottom w:type="dxa" w:w="220"/>
              <w:right w:type="dxa" w:w="400"/>
            </w:tcMar>
          </w:tcPr>
          <w:p>
            <w:pPr>
              <w:spacing w:after="60" w:before="0"/>
            </w:pPr>
            <w:r>
              <w:rPr>
                <w:rFonts w:ascii="Arial" w:cs="Arial" w:eastAsia="Arial" w:hAnsi="Arial"/>
                <w:b/>
                <w:bCs/>
                <w:color w:val="FFFFFF"/>
                <w:sz w:val="36"/>
                <w:szCs w:val="36"/>
              </w:rPr>
              <w:t xml:space="preserve">PHASE 2 — INTELLIGENCE</w:t>
            </w:r>
          </w:p>
          <w:p>
            <w:pPr>
              <w:spacing w:after="40" w:before="0"/>
            </w:pPr>
            <w:r>
              <w:rPr>
                <w:rFonts w:ascii="Arial" w:cs="Arial" w:eastAsia="Arial" w:hAnsi="Arial"/>
                <w:color w:val="CCDDEE"/>
                <w:sz w:val="21"/>
                <w:szCs w:val="21"/>
              </w:rPr>
              <w:t xml:space="preserve">2026–2027  ·  Months 6–18  ·  300+ Individual Members  ·  10+ Org Members</w:t>
            </w:r>
          </w:p>
          <w:p>
            <w:pPr>
              <w:spacing w:after="0" w:before="0"/>
            </w:pPr>
            <w:r>
              <w:rPr>
                <w:rFonts w:ascii="Arial" w:cs="Arial" w:eastAsia="Arial" w:hAnsi="Arial"/>
                <w:b/>
                <w:bCs/>
                <w:color w:val="1AAF7A"/>
                <w:sz w:val="20"/>
                <w:szCs w:val="20"/>
              </w:rPr>
              <w:t xml:space="preserve">Budget: $263,000–$338,000/year operating budget</w:t>
            </w:r>
          </w:p>
        </w:tc>
      </w:tr>
    </w:tbl>
    <w:p>
      <w:pPr>
        <w:spacing w:after="0" w:before="80"/>
      </w:pPr>
      <w:r>
        <w:t xml:space="preserve"/>
      </w:r>
    </w:p>
    <w:p>
      <w:pPr>
        <w:spacing w:after="80" w:before="180"/>
      </w:pPr>
      <w:r>
        <w:rPr>
          <w:rFonts w:ascii="Arial" w:cs="Arial" w:eastAsia="Arial" w:hAnsi="Arial"/>
          <w:b/>
          <w:bCs/>
          <w:color w:val="0B3D6B"/>
          <w:sz w:val="22"/>
          <w:szCs w:val="22"/>
        </w:rPr>
        <w:t xml:space="preserve">The Goal: Make the HAIS Work for Members</w:t>
      </w:r>
    </w:p>
    <w:p>
      <w:pPr>
        <w:spacing w:after="120" w:before="60"/>
        <w:jc w:val="left"/>
      </w:pPr>
      <w:r>
        <w:rPr>
          <w:rFonts w:ascii="Arial" w:cs="Arial" w:eastAsia="Arial" w:hAnsi="Arial"/>
          <w:b w:val="false"/>
          <w:bCs w:val="false"/>
          <w:i w:val="false"/>
          <w:iCs w:val="false"/>
          <w:color w:val="1C1C1A"/>
          <w:sz w:val="22"/>
          <w:szCs w:val="22"/>
        </w:rPr>
        <w:t xml:space="preserve">Phase 2 is where the cooperative becomes genuinely valuable beyond what any individual Organizational Member could offer alone. The HAIS Employment Module goes live. Resource matching becomes automated. The Fund is large enough to cover the P2 basic needs floor for all enrolled members.</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B3D6B" w:sz="16"/>
              <w:bottom w:val="none" w:color="FFFFFF" w:sz="0"/>
              <w:right w:val="none" w:color="FFFFFF" w:sz="0"/>
            </w:tcBorders>
            <w:shd w:fill="E6F0FA" w:val="clear"/>
            <w:tcMar>
              <w:top w:type="dxa" w:w="100"/>
              <w:left w:type="dxa" w:w="200"/>
              <w:bottom w:type="dxa" w:w="100"/>
              <w:right w:type="dxa" w:w="200"/>
            </w:tcMar>
          </w:tcPr>
          <w:p>
            <w:pPr>
              <w:pStyle w:val="ListParagraph"/>
              <w:numPr>
                <w:ilvl w:val="0"/>
                <w:numId w:val="2"/>
              </w:numPr>
              <w:spacing w:after="50" w:before="30"/>
            </w:pPr>
            <w:r>
              <w:rPr>
                <w:rFonts w:ascii="Arial" w:cs="Arial" w:eastAsia="Arial" w:hAnsi="Arial"/>
                <w:color w:val="1C1C1A"/>
                <w:sz w:val="20"/>
                <w:szCs w:val="20"/>
              </w:rPr>
              <w:t xml:space="preserve">HAIS Phase 2 live: resource matching, needs assessment, fund administration, Tier 1 autonomous decisions</w:t>
            </w:r>
          </w:p>
          <w:p>
            <w:pPr>
              <w:pStyle w:val="ListParagraph"/>
              <w:numPr>
                <w:ilvl w:val="0"/>
                <w:numId w:val="2"/>
              </w:numPr>
              <w:spacing w:after="50" w:before="30"/>
            </w:pPr>
            <w:r>
              <w:rPr>
                <w:rFonts w:ascii="Arial" w:cs="Arial" w:eastAsia="Arial" w:hAnsi="Arial"/>
                <w:color w:val="1C1C1A"/>
                <w:sz w:val="20"/>
                <w:szCs w:val="20"/>
              </w:rPr>
              <w:t xml:space="preserve">HAIS Employment Module: members receiving weekly job opportunity alerts from Organizational Member network</w:t>
            </w:r>
          </w:p>
          <w:p>
            <w:pPr>
              <w:pStyle w:val="ListParagraph"/>
              <w:numPr>
                <w:ilvl w:val="0"/>
                <w:numId w:val="2"/>
              </w:numPr>
              <w:spacing w:after="50" w:before="30"/>
            </w:pPr>
            <w:r>
              <w:rPr>
                <w:rFonts w:ascii="Arial" w:cs="Arial" w:eastAsia="Arial" w:hAnsi="Arial"/>
                <w:color w:val="1C1C1A"/>
                <w:sz w:val="20"/>
                <w:szCs w:val="20"/>
              </w:rPr>
              <w:t xml:space="preserve">First WIOA co-investment secured through Lane Workforce Partnership: $100,000+ in federal workforce funds</w:t>
            </w:r>
          </w:p>
          <w:p>
            <w:pPr>
              <w:pStyle w:val="ListParagraph"/>
              <w:numPr>
                <w:ilvl w:val="0"/>
                <w:numId w:val="2"/>
              </w:numPr>
              <w:spacing w:after="50" w:before="30"/>
            </w:pPr>
            <w:r>
              <w:rPr>
                <w:rFonts w:ascii="Arial" w:cs="Arial" w:eastAsia="Arial" w:hAnsi="Arial"/>
                <w:color w:val="1C1C1A"/>
                <w:sz w:val="20"/>
                <w:szCs w:val="20"/>
              </w:rPr>
              <w:t xml:space="preserve">Membership grows from 50 to 300+ through community outreach and Organizational Member referral networks</w:t>
            </w:r>
          </w:p>
          <w:p>
            <w:pPr>
              <w:pStyle w:val="ListParagraph"/>
              <w:numPr>
                <w:ilvl w:val="0"/>
                <w:numId w:val="2"/>
              </w:numPr>
              <w:spacing w:after="50" w:before="30"/>
            </w:pPr>
            <w:r>
              <w:rPr>
                <w:rFonts w:ascii="Arial" w:cs="Arial" w:eastAsia="Arial" w:hAnsi="Arial"/>
                <w:color w:val="1C1C1A"/>
                <w:sz w:val="20"/>
                <w:szCs w:val="20"/>
              </w:rPr>
              <w:t xml:space="preserve">10+ Organizational Members signed: anchor institutions (OCCU or SELCO) secured in this phase</w:t>
            </w:r>
          </w:p>
          <w:p>
            <w:pPr>
              <w:pStyle w:val="ListParagraph"/>
              <w:numPr>
                <w:ilvl w:val="0"/>
                <w:numId w:val="2"/>
              </w:numPr>
              <w:spacing w:after="50" w:before="30"/>
            </w:pPr>
            <w:r>
              <w:rPr>
                <w:rFonts w:ascii="Arial" w:cs="Arial" w:eastAsia="Arial" w:hAnsi="Arial"/>
                <w:color w:val="1C1C1A"/>
                <w:sz w:val="20"/>
                <w:szCs w:val="20"/>
              </w:rPr>
              <w:t xml:space="preserve">First cooperative business conversion identified and supported through Oregon Employee Ownership Center pipeline</w:t>
            </w:r>
          </w:p>
          <w:p>
            <w:pPr>
              <w:pStyle w:val="ListParagraph"/>
              <w:numPr>
                <w:ilvl w:val="0"/>
                <w:numId w:val="2"/>
              </w:numPr>
              <w:spacing w:after="50" w:before="30"/>
            </w:pPr>
            <w:r>
              <w:rPr>
                <w:rFonts w:ascii="Arial" w:cs="Arial" w:eastAsia="Arial" w:hAnsi="Arial"/>
                <w:color w:val="1C1C1A"/>
                <w:sz w:val="20"/>
                <w:szCs w:val="20"/>
              </w:rPr>
              <w:t xml:space="preserve">Green Jobs Pipeline partnerships established: EWEB, Oregon Building Trades, Lane Community College</w:t>
            </w:r>
          </w:p>
          <w:p>
            <w:pPr>
              <w:pStyle w:val="ListParagraph"/>
              <w:numPr>
                <w:ilvl w:val="0"/>
                <w:numId w:val="2"/>
              </w:numPr>
              <w:spacing w:after="50" w:before="30"/>
            </w:pPr>
            <w:r>
              <w:rPr>
                <w:rFonts w:ascii="Arial" w:cs="Arial" w:eastAsia="Arial" w:hAnsi="Arial"/>
                <w:color w:val="1C1C1A"/>
                <w:sz w:val="20"/>
                <w:szCs w:val="20"/>
              </w:rPr>
              <w:t xml:space="preserve">First Middle-Out Policy Scorecard published: HAC-ES establishes itself as Lane County's economic data voice</w:t>
            </w:r>
          </w:p>
          <w:p>
            <w:pPr>
              <w:pStyle w:val="ListParagraph"/>
              <w:numPr>
                <w:ilvl w:val="0"/>
                <w:numId w:val="2"/>
              </w:numPr>
              <w:spacing w:after="50" w:before="30"/>
            </w:pPr>
            <w:r>
              <w:rPr>
                <w:rFonts w:ascii="Arial" w:cs="Arial" w:eastAsia="Arial" w:hAnsi="Arial"/>
                <w:color w:val="1C1C1A"/>
                <w:sz w:val="20"/>
                <w:szCs w:val="20"/>
              </w:rPr>
              <w:t xml:space="preserve">Fund reaches $300,000–$500,000: P2 floor sustainable for full enrolled membership</w:t>
            </w:r>
          </w:p>
        </w:tc>
      </w:tr>
    </w:tbl>
    <w:p>
      <w:pPr>
        <w:spacing w:after="0" w:before="80"/>
      </w:pPr>
      <w:r>
        <w:t xml:space="preserve"/>
      </w:r>
    </w:p>
    <w:p>
      <w:pPr>
        <w:spacing w:after="80" w:before="180"/>
      </w:pPr>
      <w:r>
        <w:rPr>
          <w:rFonts w:ascii="Arial" w:cs="Arial" w:eastAsia="Arial" w:hAnsi="Arial"/>
          <w:b/>
          <w:bCs/>
          <w:color w:val="0B3D6B"/>
          <w:sz w:val="22"/>
          <w:szCs w:val="22"/>
        </w:rPr>
        <w:t xml:space="preserve">How the Fund Grows in Phase 2</w:t>
      </w:r>
    </w:p>
    <w:p>
      <w:pPr>
        <w:spacing w:after="120" w:before="60"/>
        <w:jc w:val="left"/>
      </w:pPr>
      <w:r>
        <w:rPr>
          <w:rFonts w:ascii="Arial" w:cs="Arial" w:eastAsia="Arial" w:hAnsi="Arial"/>
          <w:b w:val="false"/>
          <w:bCs w:val="false"/>
          <w:i w:val="false"/>
          <w:iCs w:val="false"/>
          <w:color w:val="1C1C1A"/>
          <w:sz w:val="22"/>
          <w:szCs w:val="22"/>
        </w:rPr>
        <w:t xml:space="preserve">Phase 2 is where the capitalization strategy shifts from 'seed' to 'engine.' Three things happen simultaneously:</w:t>
      </w:r>
    </w:p>
    <w:p>
      <w:pPr>
        <w:pStyle w:val="ListParagraph"/>
        <w:numPr>
          <w:ilvl w:val="0"/>
          <w:numId w:val="2"/>
        </w:numPr>
        <w:spacing w:after="60" w:before="40"/>
      </w:pPr>
      <w:r>
        <w:rPr>
          <w:rFonts w:ascii="Arial" w:cs="Arial" w:eastAsia="Arial" w:hAnsi="Arial"/>
          <w:sz w:val="22"/>
          <w:szCs w:val="22"/>
        </w:rPr>
        <w:t xml:space="preserve">Grant revenue compounds: the 6-month impact report from Phase 1 becomes the evidence base for larger grants. MacArthur and Ford Foundation applications submitted.</w:t>
      </w:r>
    </w:p>
    <w:p>
      <w:pPr>
        <w:pStyle w:val="ListParagraph"/>
        <w:numPr>
          <w:ilvl w:val="0"/>
          <w:numId w:val="2"/>
        </w:numPr>
        <w:spacing w:after="60" w:before="40"/>
      </w:pPr>
      <w:r>
        <w:rPr>
          <w:rFonts w:ascii="Arial" w:cs="Arial" w:eastAsia="Arial" w:hAnsi="Arial"/>
          <w:sz w:val="22"/>
          <w:szCs w:val="22"/>
        </w:rPr>
        <w:t xml:space="preserve">Membership contributions scale: 300 members at average $120/year = $36,000/year in recurring member revenue. Small individually; meaningful as a base.</w:t>
      </w:r>
    </w:p>
    <w:p>
      <w:pPr>
        <w:pStyle w:val="ListParagraph"/>
        <w:numPr>
          <w:ilvl w:val="0"/>
          <w:numId w:val="2"/>
        </w:numPr>
        <w:spacing w:after="60" w:before="40"/>
      </w:pPr>
      <w:r>
        <w:rPr>
          <w:rFonts w:ascii="Arial" w:cs="Arial" w:eastAsia="Arial" w:hAnsi="Arial"/>
          <w:sz w:val="22"/>
          <w:szCs w:val="22"/>
        </w:rPr>
        <w:t xml:space="preserve">WIOA co-investment activates: Lane Workforce Partnership routes federal workforce funds to HAC-ES members. This is the largest single funding source — and it requires no grant writing, just the LWP Organizational Membership.</w:t>
      </w:r>
    </w:p>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74D3A" w:val="clear"/>
            <w:tcMar>
              <w:top w:type="dxa" w:w="220"/>
              <w:left w:type="dxa" w:w="400"/>
              <w:bottom w:type="dxa" w:w="220"/>
              <w:right w:type="dxa" w:w="400"/>
            </w:tcMar>
          </w:tcPr>
          <w:p>
            <w:pPr>
              <w:spacing w:after="60" w:before="0"/>
            </w:pPr>
            <w:r>
              <w:rPr>
                <w:rFonts w:ascii="Arial" w:cs="Arial" w:eastAsia="Arial" w:hAnsi="Arial"/>
                <w:b/>
                <w:bCs/>
                <w:color w:val="FFFFFF"/>
                <w:sz w:val="36"/>
                <w:szCs w:val="36"/>
              </w:rPr>
              <w:t xml:space="preserve">PHASE 3 — GOVERNANCE</w:t>
            </w:r>
          </w:p>
          <w:p>
            <w:pPr>
              <w:spacing w:after="40" w:before="0"/>
            </w:pPr>
            <w:r>
              <w:rPr>
                <w:rFonts w:ascii="Arial" w:cs="Arial" w:eastAsia="Arial" w:hAnsi="Arial"/>
                <w:color w:val="CCDDEE"/>
                <w:sz w:val="21"/>
                <w:szCs w:val="21"/>
              </w:rPr>
              <w:t xml:space="preserve">2027–2029  ·  Years 2–4  ·  500+ Individual Members  ·  20+ Org Members</w:t>
            </w:r>
          </w:p>
          <w:p>
            <w:pPr>
              <w:spacing w:after="0" w:before="0"/>
            </w:pPr>
            <w:r>
              <w:rPr>
                <w:rFonts w:ascii="Arial" w:cs="Arial" w:eastAsia="Arial" w:hAnsi="Arial"/>
                <w:b/>
                <w:bCs/>
                <w:color w:val="1AAF7A"/>
                <w:sz w:val="20"/>
                <w:szCs w:val="20"/>
              </w:rPr>
              <w:t xml:space="preserve">Budget: $589,000–$750,000/year operating budget</w:t>
            </w:r>
          </w:p>
        </w:tc>
      </w:tr>
    </w:tbl>
    <w:p>
      <w:pPr>
        <w:spacing w:after="0" w:before="80"/>
      </w:pPr>
      <w:r>
        <w:t xml:space="preserve"/>
      </w:r>
    </w:p>
    <w:p>
      <w:pPr>
        <w:spacing w:after="80" w:before="180"/>
      </w:pPr>
      <w:r>
        <w:rPr>
          <w:rFonts w:ascii="Arial" w:cs="Arial" w:eastAsia="Arial" w:hAnsi="Arial"/>
          <w:b/>
          <w:bCs/>
          <w:color w:val="0B3D6B"/>
          <w:sz w:val="22"/>
          <w:szCs w:val="22"/>
        </w:rPr>
        <w:t xml:space="preserve">The Goal: Build the Cooperative Economy</w:t>
      </w:r>
    </w:p>
    <w:p>
      <w:pPr>
        <w:spacing w:after="120" w:before="60"/>
        <w:jc w:val="left"/>
      </w:pPr>
      <w:r>
        <w:rPr>
          <w:rFonts w:ascii="Arial" w:cs="Arial" w:eastAsia="Arial" w:hAnsi="Arial"/>
          <w:b w:val="false"/>
          <w:bCs w:val="false"/>
          <w:i w:val="false"/>
          <w:iCs w:val="false"/>
          <w:color w:val="1C1C1A"/>
          <w:sz w:val="22"/>
          <w:szCs w:val="22"/>
        </w:rPr>
        <w:t xml:space="preserve">Phase 3 is when HAC-ES becomes an economic force in Lane County — not just a service organization. The first worker cooperatives are incubated. The Green Jobs Pipeline places members in clean energy jobs. Community benefit agreements are negotiated with UO and PeaceHealth. The Fund begins earning returns from its cooperative equity stakes.</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B3D6B" w:sz="16"/>
              <w:bottom w:val="none" w:color="FFFFFF" w:sz="0"/>
              <w:right w:val="none" w:color="FFFFFF" w:sz="0"/>
            </w:tcBorders>
            <w:shd w:fill="E6F0FA" w:val="clear"/>
            <w:tcMar>
              <w:top w:type="dxa" w:w="100"/>
              <w:left w:type="dxa" w:w="200"/>
              <w:bottom w:type="dxa" w:w="100"/>
              <w:right w:type="dxa" w:w="200"/>
            </w:tcMar>
          </w:tcPr>
          <w:p>
            <w:pPr>
              <w:pStyle w:val="ListParagraph"/>
              <w:numPr>
                <w:ilvl w:val="0"/>
                <w:numId w:val="2"/>
              </w:numPr>
              <w:spacing w:after="50" w:before="30"/>
            </w:pPr>
            <w:r>
              <w:rPr>
                <w:rFonts w:ascii="Arial" w:cs="Arial" w:eastAsia="Arial" w:hAnsi="Arial"/>
                <w:color w:val="1C1C1A"/>
                <w:sz w:val="20"/>
                <w:szCs w:val="20"/>
              </w:rPr>
              <w:t xml:space="preserve">HAIS Phase 3 live: full stakeholder health scoring, Human Flourishing Dashboard, Tier 2 autonomous decisions</w:t>
            </w:r>
          </w:p>
          <w:p>
            <w:pPr>
              <w:pStyle w:val="ListParagraph"/>
              <w:numPr>
                <w:ilvl w:val="0"/>
                <w:numId w:val="2"/>
              </w:numPr>
              <w:spacing w:after="50" w:before="30"/>
            </w:pPr>
            <w:r>
              <w:rPr>
                <w:rFonts w:ascii="Arial" w:cs="Arial" w:eastAsia="Arial" w:hAnsi="Arial"/>
                <w:color w:val="1C1C1A"/>
                <w:sz w:val="20"/>
                <w:szCs w:val="20"/>
              </w:rPr>
              <w:t xml:space="preserve">First worker cooperative launched through HAC-ES incubator: HAC-ES is anchor customer from Day 1</w:t>
            </w:r>
          </w:p>
          <w:p>
            <w:pPr>
              <w:pStyle w:val="ListParagraph"/>
              <w:numPr>
                <w:ilvl w:val="0"/>
                <w:numId w:val="2"/>
              </w:numPr>
              <w:spacing w:after="50" w:before="30"/>
            </w:pPr>
            <w:r>
              <w:rPr>
                <w:rFonts w:ascii="Arial" w:cs="Arial" w:eastAsia="Arial" w:hAnsi="Arial"/>
                <w:color w:val="1C1C1A"/>
                <w:sz w:val="20"/>
                <w:szCs w:val="20"/>
              </w:rPr>
              <w:t xml:space="preserve">First 1–2 employee ownership conversions completed: existing Lane County businesses become worker-owned</w:t>
            </w:r>
          </w:p>
          <w:p>
            <w:pPr>
              <w:pStyle w:val="ListParagraph"/>
              <w:numPr>
                <w:ilvl w:val="0"/>
                <w:numId w:val="2"/>
              </w:numPr>
              <w:spacing w:after="50" w:before="30"/>
            </w:pPr>
            <w:r>
              <w:rPr>
                <w:rFonts w:ascii="Arial" w:cs="Arial" w:eastAsia="Arial" w:hAnsi="Arial"/>
                <w:color w:val="1C1C1A"/>
                <w:sz w:val="20"/>
                <w:szCs w:val="20"/>
              </w:rPr>
              <w:t xml:space="preserve">Green Jobs Pipeline operational: first cohort of 20–30 members placed in IRA-funded clean energy jobs</w:t>
            </w:r>
          </w:p>
          <w:p>
            <w:pPr>
              <w:pStyle w:val="ListParagraph"/>
              <w:numPr>
                <w:ilvl w:val="0"/>
                <w:numId w:val="2"/>
              </w:numPr>
              <w:spacing w:after="50" w:before="30"/>
            </w:pPr>
            <w:r>
              <w:rPr>
                <w:rFonts w:ascii="Arial" w:cs="Arial" w:eastAsia="Arial" w:hAnsi="Arial"/>
                <w:color w:val="1C1C1A"/>
                <w:sz w:val="20"/>
                <w:szCs w:val="20"/>
              </w:rPr>
              <w:t xml:space="preserve">Community benefit agreements negotiated with UO and/or PeaceHealth: HAC-ES member hiring preferences</w:t>
            </w:r>
          </w:p>
          <w:p>
            <w:pPr>
              <w:pStyle w:val="ListParagraph"/>
              <w:numPr>
                <w:ilvl w:val="0"/>
                <w:numId w:val="2"/>
              </w:numPr>
              <w:spacing w:after="50" w:before="30"/>
            </w:pPr>
            <w:r>
              <w:rPr>
                <w:rFonts w:ascii="Arial" w:cs="Arial" w:eastAsia="Arial" w:hAnsi="Arial"/>
                <w:color w:val="1C1C1A"/>
                <w:sz w:val="20"/>
                <w:szCs w:val="20"/>
              </w:rPr>
              <w:t xml:space="preserve">First $1M+ grant secured (MacArthur or Ford Foundation): proof of national-scale relevance</w:t>
            </w:r>
          </w:p>
          <w:p>
            <w:pPr>
              <w:pStyle w:val="ListParagraph"/>
              <w:numPr>
                <w:ilvl w:val="0"/>
                <w:numId w:val="2"/>
              </w:numPr>
              <w:spacing w:after="50" w:before="30"/>
            </w:pPr>
            <w:r>
              <w:rPr>
                <w:rFonts w:ascii="Arial" w:cs="Arial" w:eastAsia="Arial" w:hAnsi="Arial"/>
                <w:color w:val="1C1C1A"/>
                <w:sz w:val="20"/>
                <w:szCs w:val="20"/>
              </w:rPr>
              <w:t xml:space="preserve">Cooperative equity stakes generating Fund income: 5–10 Org Members contributing equity distributions</w:t>
            </w:r>
          </w:p>
          <w:p>
            <w:pPr>
              <w:pStyle w:val="ListParagraph"/>
              <w:numPr>
                <w:ilvl w:val="0"/>
                <w:numId w:val="2"/>
              </w:numPr>
              <w:spacing w:after="50" w:before="30"/>
            </w:pPr>
            <w:r>
              <w:rPr>
                <w:rFonts w:ascii="Arial" w:cs="Arial" w:eastAsia="Arial" w:hAnsi="Arial"/>
                <w:color w:val="1C1C1A"/>
                <w:sz w:val="20"/>
                <w:szCs w:val="20"/>
              </w:rPr>
              <w:t xml:space="preserve">Fund reaches $1,000,000+: P2 floor fully sustainable, P3 training investments self-funding through IRA/WIOA</w:t>
            </w:r>
          </w:p>
          <w:p>
            <w:pPr>
              <w:pStyle w:val="ListParagraph"/>
              <w:numPr>
                <w:ilvl w:val="0"/>
                <w:numId w:val="2"/>
              </w:numPr>
              <w:spacing w:after="50" w:before="30"/>
            </w:pPr>
            <w:r>
              <w:rPr>
                <w:rFonts w:ascii="Arial" w:cs="Arial" w:eastAsia="Arial" w:hAnsi="Arial"/>
                <w:color w:val="1C1C1A"/>
                <w:sz w:val="20"/>
                <w:szCs w:val="20"/>
              </w:rPr>
              <w:t xml:space="preserve">32-hour work week Preferred Hours Employer program launched with 5+ certified employers</w:t>
            </w:r>
          </w:p>
        </w:tc>
      </w:tr>
    </w:tbl>
    <w:p>
      <w:pPr>
        <w:spacing w:after="0" w:before="80"/>
      </w:pPr>
      <w:r>
        <w:t xml:space="preserve"/>
      </w:r>
    </w:p>
    <w:p>
      <w:pPr>
        <w:spacing w:after="80" w:before="180"/>
      </w:pPr>
      <w:r>
        <w:rPr>
          <w:rFonts w:ascii="Arial" w:cs="Arial" w:eastAsia="Arial" w:hAnsi="Arial"/>
          <w:b/>
          <w:bCs/>
          <w:color w:val="0B3D6B"/>
          <w:sz w:val="22"/>
          <w:szCs w:val="22"/>
        </w:rPr>
        <w:t xml:space="preserve">How the Fund Becomes Self-Sustaining in Phase 3</w:t>
      </w:r>
    </w:p>
    <w:p>
      <w:pPr>
        <w:spacing w:after="120" w:before="60"/>
        <w:jc w:val="left"/>
      </w:pPr>
      <w:r>
        <w:rPr>
          <w:rFonts w:ascii="Arial" w:cs="Arial" w:eastAsia="Arial" w:hAnsi="Arial"/>
          <w:b w:val="false"/>
          <w:bCs w:val="false"/>
          <w:i w:val="false"/>
          <w:iCs w:val="false"/>
          <w:color w:val="1C1C1A"/>
          <w:sz w:val="22"/>
          <w:szCs w:val="22"/>
        </w:rPr>
        <w:t xml:space="preserve">Phase 3 is the critical transition point where the Fund's income begins to approach its expenditures. Three new revenue streams activate:</w:t>
      </w:r>
    </w:p>
    <w:p>
      <w:pPr>
        <w:pStyle w:val="ListParagraph"/>
        <w:numPr>
          <w:ilvl w:val="0"/>
          <w:numId w:val="2"/>
        </w:numPr>
        <w:spacing w:after="60" w:before="40"/>
      </w:pPr>
      <w:r>
        <w:rPr>
          <w:rFonts w:ascii="Arial" w:cs="Arial" w:eastAsia="Arial" w:hAnsi="Arial"/>
          <w:sz w:val="22"/>
          <w:szCs w:val="22"/>
        </w:rPr>
        <w:t xml:space="preserve">Cooperative equity distributions: HAC-ES holds 1–5% equity stakes in 10–20 Organizational Members. At 10% net margins across $500K average revenue, this generates $5,000–$10,000/year per stake, growing.</w:t>
      </w:r>
    </w:p>
    <w:p>
      <w:pPr>
        <w:pStyle w:val="ListParagraph"/>
        <w:numPr>
          <w:ilvl w:val="0"/>
          <w:numId w:val="2"/>
        </w:numPr>
        <w:spacing w:after="60" w:before="40"/>
      </w:pPr>
      <w:r>
        <w:rPr>
          <w:rFonts w:ascii="Arial" w:cs="Arial" w:eastAsia="Arial" w:hAnsi="Arial"/>
          <w:sz w:val="22"/>
          <w:szCs w:val="22"/>
        </w:rPr>
        <w:t xml:space="preserve">HAIS platform licensing: other communities building HAC-model cooperatives pay a licensing fee for the open-source HAIS infrastructure. This is new revenue with near-zero marginal cost.</w:t>
      </w:r>
    </w:p>
    <w:p>
      <w:pPr>
        <w:pStyle w:val="ListParagraph"/>
        <w:numPr>
          <w:ilvl w:val="0"/>
          <w:numId w:val="2"/>
        </w:numPr>
        <w:spacing w:after="60" w:before="40"/>
      </w:pPr>
      <w:r>
        <w:rPr>
          <w:rFonts w:ascii="Arial" w:cs="Arial" w:eastAsia="Arial" w:hAnsi="Arial"/>
          <w:sz w:val="22"/>
          <w:szCs w:val="22"/>
        </w:rPr>
        <w:t xml:space="preserve">Community Investment Note interest recycling: CIN principal returned at maturity is re-issued. The cooperative pays 2–4% interest and reinvests at higher Inclusion ROI — the spread funds operations.</w:t>
      </w:r>
    </w:p>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B8590A" w:val="clear"/>
            <w:tcMar>
              <w:top w:type="dxa" w:w="220"/>
              <w:left w:type="dxa" w:w="400"/>
              <w:bottom w:type="dxa" w:w="220"/>
              <w:right w:type="dxa" w:w="400"/>
            </w:tcMar>
          </w:tcPr>
          <w:p>
            <w:pPr>
              <w:spacing w:after="60" w:before="0"/>
            </w:pPr>
            <w:r>
              <w:rPr>
                <w:rFonts w:ascii="Arial" w:cs="Arial" w:eastAsia="Arial" w:hAnsi="Arial"/>
                <w:b/>
                <w:bCs/>
                <w:color w:val="FFFFFF"/>
                <w:sz w:val="36"/>
                <w:szCs w:val="36"/>
              </w:rPr>
              <w:t xml:space="preserve">PHASE 4 — FULL DEPLOYMENT</w:t>
            </w:r>
          </w:p>
          <w:p>
            <w:pPr>
              <w:spacing w:after="40" w:before="0"/>
            </w:pPr>
            <w:r>
              <w:rPr>
                <w:rFonts w:ascii="Arial" w:cs="Arial" w:eastAsia="Arial" w:hAnsi="Arial"/>
                <w:color w:val="CCDDEE"/>
                <w:sz w:val="21"/>
                <w:szCs w:val="21"/>
              </w:rPr>
              <w:t xml:space="preserve">2029+  ·  Years 4–6  ·  1,000+ Individual Members  ·  40+ Org Members</w:t>
            </w:r>
          </w:p>
          <w:p>
            <w:pPr>
              <w:spacing w:after="0" w:before="0"/>
            </w:pPr>
            <w:r>
              <w:rPr>
                <w:rFonts w:ascii="Arial" w:cs="Arial" w:eastAsia="Arial" w:hAnsi="Arial"/>
                <w:b/>
                <w:bCs/>
                <w:color w:val="1AAF7A"/>
                <w:sz w:val="20"/>
                <w:szCs w:val="20"/>
              </w:rPr>
              <w:t xml:space="preserve">Budget: $1,000,000–$1,300,000/year operating budget</w:t>
            </w:r>
          </w:p>
        </w:tc>
      </w:tr>
    </w:tbl>
    <w:p>
      <w:pPr>
        <w:spacing w:after="0" w:before="80"/>
      </w:pPr>
      <w:r>
        <w:t xml:space="preserve"/>
      </w:r>
    </w:p>
    <w:p>
      <w:pPr>
        <w:spacing w:after="80" w:before="180"/>
      </w:pPr>
      <w:r>
        <w:rPr>
          <w:rFonts w:ascii="Arial" w:cs="Arial" w:eastAsia="Arial" w:hAnsi="Arial"/>
          <w:b/>
          <w:bCs/>
          <w:color w:val="0B3D6B"/>
          <w:sz w:val="22"/>
          <w:szCs w:val="22"/>
        </w:rPr>
        <w:t xml:space="preserve">The Goal: Issue the First Dividend</w:t>
      </w:r>
    </w:p>
    <w:p>
      <w:pPr>
        <w:spacing w:after="120" w:before="60"/>
        <w:jc w:val="left"/>
      </w:pPr>
      <w:r>
        <w:rPr>
          <w:rFonts w:ascii="Arial" w:cs="Arial" w:eastAsia="Arial" w:hAnsi="Arial"/>
          <w:b w:val="false"/>
          <w:bCs w:val="false"/>
          <w:i w:val="false"/>
          <w:iCs w:val="false"/>
          <w:color w:val="1C1C1A"/>
          <w:sz w:val="22"/>
          <w:szCs w:val="22"/>
        </w:rPr>
        <w:t xml:space="preserve">Phase 4 is when the cooperative delivers on its most powerful promise: the Human Asset Dividend — a direct periodic payment to all founding members modeled on Alaska's Permanent Fund. This is the proof that the model works not just as a service, but as a wealth-building institution.</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single" w:color="0B3D6B" w:sz="16"/>
              <w:bottom w:val="none" w:color="FFFFFF" w:sz="0"/>
              <w:right w:val="none" w:color="FFFFFF" w:sz="0"/>
            </w:tcBorders>
            <w:shd w:fill="E6F0FA" w:val="clear"/>
            <w:tcMar>
              <w:top w:type="dxa" w:w="100"/>
              <w:left w:type="dxa" w:w="200"/>
              <w:bottom w:type="dxa" w:w="100"/>
              <w:right w:type="dxa" w:w="200"/>
            </w:tcMar>
          </w:tcPr>
          <w:p>
            <w:pPr>
              <w:pStyle w:val="ListParagraph"/>
              <w:numPr>
                <w:ilvl w:val="0"/>
                <w:numId w:val="2"/>
              </w:numPr>
              <w:spacing w:after="50" w:before="30"/>
            </w:pPr>
            <w:r>
              <w:rPr>
                <w:rFonts w:ascii="Arial" w:cs="Arial" w:eastAsia="Arial" w:hAnsi="Arial"/>
                <w:color w:val="1C1C1A"/>
                <w:sz w:val="20"/>
                <w:szCs w:val="20"/>
              </w:rPr>
              <w:t xml:space="preserve">HAIS Phase 4 full: complete autonomous governance within democratic framework, federation tools, open-source publication</w:t>
            </w:r>
          </w:p>
          <w:p>
            <w:pPr>
              <w:pStyle w:val="ListParagraph"/>
              <w:numPr>
                <w:ilvl w:val="0"/>
                <w:numId w:val="2"/>
              </w:numPr>
              <w:spacing w:after="50" w:before="30"/>
            </w:pPr>
            <w:r>
              <w:rPr>
                <w:rFonts w:ascii="Arial" w:cs="Arial" w:eastAsia="Arial" w:hAnsi="Arial"/>
                <w:color w:val="1C1C1A"/>
                <w:sz w:val="20"/>
                <w:szCs w:val="20"/>
              </w:rPr>
              <w:t xml:space="preserve">First Human Asset Dividend issued to all founding members in good standing</w:t>
            </w:r>
          </w:p>
          <w:p>
            <w:pPr>
              <w:pStyle w:val="ListParagraph"/>
              <w:numPr>
                <w:ilvl w:val="0"/>
                <w:numId w:val="2"/>
              </w:numPr>
              <w:spacing w:after="50" w:before="30"/>
            </w:pPr>
            <w:r>
              <w:rPr>
                <w:rFonts w:ascii="Arial" w:cs="Arial" w:eastAsia="Arial" w:hAnsi="Arial"/>
                <w:color w:val="1C1C1A"/>
                <w:sz w:val="20"/>
                <w:szCs w:val="20"/>
              </w:rPr>
              <w:t xml:space="preserve">HAC Federation launched: first 2–3 replicating communities in Oregon and nationally</w:t>
            </w:r>
          </w:p>
          <w:p>
            <w:pPr>
              <w:pStyle w:val="ListParagraph"/>
              <w:numPr>
                <w:ilvl w:val="0"/>
                <w:numId w:val="2"/>
              </w:numPr>
              <w:spacing w:after="50" w:before="30"/>
            </w:pPr>
            <w:r>
              <w:rPr>
                <w:rFonts w:ascii="Arial" w:cs="Arial" w:eastAsia="Arial" w:hAnsi="Arial"/>
                <w:color w:val="1C1C1A"/>
                <w:sz w:val="20"/>
                <w:szCs w:val="20"/>
              </w:rPr>
              <w:t xml:space="preserve">Fund endowment reaches $3,000,000–$5,000,000: sufficient to sustain P1/P2 operations without ongoing grant dependency</w:t>
            </w:r>
          </w:p>
          <w:p>
            <w:pPr>
              <w:pStyle w:val="ListParagraph"/>
              <w:numPr>
                <w:ilvl w:val="0"/>
                <w:numId w:val="2"/>
              </w:numPr>
              <w:spacing w:after="50" w:before="30"/>
            </w:pPr>
            <w:r>
              <w:rPr>
                <w:rFonts w:ascii="Arial" w:cs="Arial" w:eastAsia="Arial" w:hAnsi="Arial"/>
                <w:color w:val="1C1C1A"/>
                <w:sz w:val="20"/>
                <w:szCs w:val="20"/>
              </w:rPr>
              <w:t xml:space="preserve">HAIS platform licensing generating $100,000+/year from federation members</w:t>
            </w:r>
          </w:p>
          <w:p>
            <w:pPr>
              <w:pStyle w:val="ListParagraph"/>
              <w:numPr>
                <w:ilvl w:val="0"/>
                <w:numId w:val="2"/>
              </w:numPr>
              <w:spacing w:after="50" w:before="30"/>
            </w:pPr>
            <w:r>
              <w:rPr>
                <w:rFonts w:ascii="Arial" w:cs="Arial" w:eastAsia="Arial" w:hAnsi="Arial"/>
                <w:color w:val="1C1C1A"/>
                <w:sz w:val="20"/>
                <w:szCs w:val="20"/>
              </w:rPr>
              <w:t xml:space="preserve">Lane County Middle-Out Policy Scorecard influencing city and county policy decisions</w:t>
            </w:r>
          </w:p>
          <w:p>
            <w:pPr>
              <w:pStyle w:val="ListParagraph"/>
              <w:numPr>
                <w:ilvl w:val="0"/>
                <w:numId w:val="2"/>
              </w:numPr>
              <w:spacing w:after="50" w:before="30"/>
            </w:pPr>
            <w:r>
              <w:rPr>
                <w:rFonts w:ascii="Arial" w:cs="Arial" w:eastAsia="Arial" w:hAnsi="Arial"/>
                <w:color w:val="1C1C1A"/>
                <w:sz w:val="20"/>
                <w:szCs w:val="20"/>
              </w:rPr>
              <w:t xml:space="preserve">First community benefit agreements delivering measurable HAC-ES member hiring at UO and PeaceHealth</w:t>
            </w:r>
          </w:p>
          <w:p>
            <w:pPr>
              <w:pStyle w:val="ListParagraph"/>
              <w:numPr>
                <w:ilvl w:val="0"/>
                <w:numId w:val="2"/>
              </w:numPr>
              <w:spacing w:after="50" w:before="30"/>
            </w:pPr>
            <w:r>
              <w:rPr>
                <w:rFonts w:ascii="Arial" w:cs="Arial" w:eastAsia="Arial" w:hAnsi="Arial"/>
                <w:color w:val="1C1C1A"/>
                <w:sz w:val="20"/>
                <w:szCs w:val="20"/>
              </w:rPr>
              <w:t xml:space="preserve">Full-scale green energy cooperative operational and contracted by EWEB</w:t>
            </w:r>
          </w:p>
        </w:tc>
      </w:tr>
    </w:tbl>
    <w:p>
      <w:pPr>
        <w:spacing w:after="0" w:before="200"/>
      </w:pPr>
      <w:r>
        <w:t xml:space="preserve"/>
      </w:r>
    </w:p>
    <w:p>
      <w:r>
        <w:br w:type="page"/>
      </w:r>
    </w:p>
    <w:p>
      <w:pPr>
        <w:pStyle w:val="Heading1"/>
        <w:spacing w:after="160" w:before="320"/>
      </w:pPr>
      <w:r>
        <w:rPr>
          <w:rFonts w:ascii="Arial" w:cs="Arial" w:eastAsia="Arial" w:hAnsi="Arial"/>
          <w:b/>
          <w:bCs/>
          <w:color w:val="0B3D6B"/>
          <w:sz w:val="34"/>
          <w:szCs w:val="34"/>
        </w:rPr>
        <w:t xml:space="preserve">PART IV — THE MATH: DOES IT ADD UP?</w:t>
      </w:r>
    </w:p>
    <w:p>
      <w:pPr>
        <w:pBdr>
          <w:bottom w:val="single" w:color="0B3D6B" w:sz="6" w:space="1"/>
        </w:pBdr>
        <w:spacing w:after="0" w:before="0"/>
      </w:pPr>
      <w:r>
        <w:t xml:space="preserve"/>
      </w:r>
    </w:p>
    <w:p>
      <w:pPr>
        <w:spacing w:after="0" w:before="100"/>
      </w:pPr>
      <w:r>
        <w:t xml:space="preserve"/>
      </w:r>
    </w:p>
    <w:p>
      <w:pPr>
        <w:pStyle w:val="Heading2"/>
        <w:spacing w:after="120" w:before="240"/>
      </w:pPr>
      <w:r>
        <w:rPr>
          <w:rFonts w:ascii="Arial" w:cs="Arial" w:eastAsia="Arial" w:hAnsi="Arial"/>
          <w:b/>
          <w:bCs/>
          <w:color w:val="074D3A"/>
          <w:sz w:val="26"/>
          <w:szCs w:val="26"/>
        </w:rPr>
        <w:t xml:space="preserve">The Fund Solvency Model</w:t>
      </w:r>
    </w:p>
    <w:p>
      <w:pPr>
        <w:spacing w:after="120" w:before="60"/>
        <w:jc w:val="left"/>
      </w:pPr>
      <w:r>
        <w:rPr>
          <w:rFonts w:ascii="Arial" w:cs="Arial" w:eastAsia="Arial" w:hAnsi="Arial"/>
          <w:b w:val="false"/>
          <w:bCs w:val="false"/>
          <w:i w:val="false"/>
          <w:iCs w:val="false"/>
          <w:color w:val="1C1C1A"/>
          <w:sz w:val="22"/>
          <w:szCs w:val="22"/>
        </w:rPr>
        <w:t xml:space="preserve">The fundamental sustainability test: can the Fund cover P1/P2 basic needs for all enrolled members while also building the reserve and P5 endowment that makes long-term sustainability possible? Here is a conservative projection:</w:t>
      </w:r>
    </w:p>
    <w:p>
      <w:pPr>
        <w:spacing w:after="0" w:before="1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1920"/>
        <w:gridCol w:w="1920"/>
        <w:gridCol w:w="1920"/>
        <w:gridCol w:w="1920"/>
      </w:tblGrid>
      <w:tr>
        <w:trPr>
          <w:tblHeader/>
        </w:trPr>
        <w:tc>
          <w:tcPr>
            <w:tcW w:type="dxa" w:w="24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192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Phase 1 (Year 1)</w:t>
            </w:r>
          </w:p>
        </w:tc>
        <w:tc>
          <w:tcPr>
            <w:tcW w:type="dxa" w:w="192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Phase 2 (Year 2)</w:t>
            </w:r>
          </w:p>
        </w:tc>
        <w:tc>
          <w:tcPr>
            <w:tcW w:type="dxa" w:w="192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Phase 3 (Year 3)</w:t>
            </w:r>
          </w:p>
        </w:tc>
        <w:tc>
          <w:tcPr>
            <w:tcW w:type="dxa" w:w="192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Phase 4 (Year 5)</w:t>
            </w:r>
          </w:p>
        </w:tc>
      </w:tr>
      <w:tr>
        <w:tc>
          <w:tcPr>
            <w:tcW w:type="dxa" w:w="2400"/>
            <w:tcBorders>
              <w:top w:val="single" w:color="CCCCCC" w:sz="1"/>
              <w:left w:val="single" w:color="CCCCCC" w:sz="1"/>
              <w:bottom w:val="single" w:color="CCCCCC" w:sz="1"/>
              <w:right w:val="single" w:color="CCCCCC" w:sz="1"/>
            </w:tcBorders>
            <w:shd w:fill="F2F2F2" w:val="clear"/>
            <w:tcMar>
              <w:top w:type="dxa" w:w="70"/>
              <w:left w:type="dxa" w:w="120"/>
              <w:bottom w:type="dxa" w:w="70"/>
              <w:right w:type="dxa" w:w="120"/>
            </w:tcMar>
          </w:tcPr>
          <w:p>
            <w:r>
              <w:rPr>
                <w:rFonts w:ascii="Arial" w:cs="Arial" w:eastAsia="Arial" w:hAnsi="Arial"/>
                <w:b/>
                <w:bCs/>
                <w:sz w:val="20"/>
                <w:szCs w:val="20"/>
              </w:rPr>
              <w:t xml:space="preserve">Individual Members</w:t>
            </w:r>
          </w:p>
        </w:tc>
        <w:tc>
          <w:tcPr>
            <w:tcW w:type="dxa" w:w="192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sz w:val="20"/>
                <w:szCs w:val="20"/>
              </w:rPr>
              <w:t xml:space="preserve">50</w:t>
            </w:r>
          </w:p>
        </w:tc>
        <w:tc>
          <w:tcPr>
            <w:tcW w:type="dxa" w:w="192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sz w:val="20"/>
                <w:szCs w:val="20"/>
              </w:rPr>
              <w:t xml:space="preserve">300</w:t>
            </w:r>
          </w:p>
        </w:tc>
        <w:tc>
          <w:tcPr>
            <w:tcW w:type="dxa" w:w="192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sz w:val="20"/>
                <w:szCs w:val="20"/>
              </w:rPr>
              <w:t xml:space="preserve">500</w:t>
            </w:r>
          </w:p>
        </w:tc>
        <w:tc>
          <w:tcPr>
            <w:tcW w:type="dxa" w:w="1920"/>
            <w:tcBorders>
              <w:top w:val="single" w:color="CCCCCC" w:sz="1"/>
              <w:left w:val="single" w:color="CCCCCC" w:sz="1"/>
              <w:bottom w:val="single" w:color="CCCCCC" w:sz="1"/>
              <w:right w:val="single" w:color="CCCCCC" w:sz="1"/>
            </w:tcBorders>
            <w:tcMar>
              <w:top w:type="dxa" w:w="70"/>
              <w:left w:type="dxa" w:w="80"/>
              <w:bottom w:type="dxa" w:w="70"/>
              <w:right w:type="dxa" w:w="80"/>
            </w:tcMar>
          </w:tcPr>
          <w:p>
            <w:pPr>
              <w:jc w:val="center"/>
            </w:pPr>
            <w:r>
              <w:rPr>
                <w:rFonts w:ascii="Arial" w:cs="Arial" w:eastAsia="Arial" w:hAnsi="Arial"/>
                <w:sz w:val="20"/>
                <w:szCs w:val="20"/>
              </w:rPr>
              <w:t xml:space="preserve">1,000+</w:t>
            </w:r>
          </w:p>
        </w:tc>
      </w:tr>
      <w:tr>
        <w:tc>
          <w:tcPr>
            <w:tcW w:type="dxa" w:w="240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b/>
                <w:bCs/>
                <w:sz w:val="20"/>
                <w:szCs w:val="20"/>
              </w:rPr>
              <w:t xml:space="preserve">P1/P2 cost per member/year</w:t>
            </w:r>
          </w:p>
        </w:tc>
        <w:tc>
          <w:tcPr>
            <w:tcW w:type="dxa" w:w="192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B3D6B"/>
                <w:sz w:val="20"/>
                <w:szCs w:val="20"/>
              </w:rPr>
              <w:t xml:space="preserve">$800</w:t>
            </w:r>
          </w:p>
        </w:tc>
        <w:tc>
          <w:tcPr>
            <w:tcW w:type="dxa" w:w="192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B3D6B"/>
                <w:sz w:val="20"/>
                <w:szCs w:val="20"/>
              </w:rPr>
              <w:t xml:space="preserve">$650</w:t>
            </w:r>
          </w:p>
        </w:tc>
        <w:tc>
          <w:tcPr>
            <w:tcW w:type="dxa" w:w="192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B3D6B"/>
                <w:sz w:val="20"/>
                <w:szCs w:val="20"/>
              </w:rPr>
              <w:t xml:space="preserve">$500</w:t>
            </w:r>
          </w:p>
        </w:tc>
        <w:tc>
          <w:tcPr>
            <w:tcW w:type="dxa" w:w="1920"/>
            <w:tcBorders>
              <w:top w:val="single" w:color="CCCCCC" w:sz="1"/>
              <w:left w:val="single" w:color="CCCCCC" w:sz="1"/>
              <w:bottom w:val="single" w:color="CCCCCC" w:sz="1"/>
              <w:right w:val="single" w:color="CCCCCC" w:sz="1"/>
            </w:tcBorders>
            <w:shd w:fill="E6F0FA" w:val="clear"/>
            <w:tcMar>
              <w:top w:type="dxa" w:w="70"/>
              <w:left w:type="dxa" w:w="80"/>
              <w:bottom w:type="dxa" w:w="70"/>
              <w:right w:type="dxa" w:w="80"/>
            </w:tcMar>
          </w:tcPr>
          <w:p>
            <w:pPr>
              <w:jc w:val="center"/>
            </w:pPr>
            <w:r>
              <w:rPr>
                <w:rFonts w:ascii="Arial" w:cs="Arial" w:eastAsia="Arial" w:hAnsi="Arial"/>
                <w:b/>
                <w:bCs/>
                <w:color w:val="0B3D6B"/>
                <w:sz w:val="20"/>
                <w:szCs w:val="20"/>
              </w:rPr>
              <w:t xml:space="preserve">$400</w:t>
            </w:r>
          </w:p>
        </w:tc>
      </w:tr>
      <w:tr>
        <w:tc>
          <w:tcPr>
            <w:tcW w:type="dxa" w:w="2400"/>
            <w:tcBorders>
              <w:top w:val="single" w:color="CCCCCC" w:sz="1"/>
              <w:left w:val="single" w:color="CCCCCC" w:sz="1"/>
              <w:bottom w:val="single" w:color="CCCCCC" w:sz="1"/>
              <w:right w:val="single" w:color="CCCCCC" w:sz="1"/>
            </w:tcBorders>
            <w:shd w:fill="F2F2F2" w:val="clear"/>
            <w:tcMar>
              <w:top w:type="dxa" w:w="70"/>
              <w:left w:type="dxa" w:w="120"/>
              <w:bottom w:type="dxa" w:w="70"/>
              <w:right w:type="dxa" w:w="120"/>
            </w:tcMar>
          </w:tcPr>
          <w:p>
            <w:r>
              <w:rPr>
                <w:rFonts w:ascii="Arial" w:cs="Arial" w:eastAsia="Arial" w:hAnsi="Arial"/>
                <w:b/>
                <w:bCs/>
                <w:sz w:val="20"/>
                <w:szCs w:val="20"/>
              </w:rPr>
              <w:t xml:space="preserve">Total P1/P2 cost</w:t>
            </w:r>
          </w:p>
        </w:tc>
        <w:tc>
          <w:tcPr>
            <w:tcW w:type="dxa" w:w="1920"/>
            <w:tcBorders>
              <w:top w:val="single" w:color="CCCCCC" w:sz="1"/>
              <w:left w:val="single" w:color="CCCCCC" w:sz="1"/>
              <w:bottom w:val="single" w:color="CCCCCC" w:sz="1"/>
              <w:right w:val="single" w:color="CCCCCC" w:sz="1"/>
            </w:tcBorders>
            <w:shd w:fill="F2F2F2" w:val="clear"/>
            <w:tcMar>
              <w:top w:type="dxa" w:w="70"/>
              <w:left w:type="dxa" w:w="80"/>
              <w:bottom w:type="dxa" w:w="70"/>
              <w:right w:type="dxa" w:w="80"/>
            </w:tcMar>
          </w:tcPr>
          <w:p>
            <w:pPr>
              <w:jc w:val="center"/>
            </w:pPr>
            <w:r>
              <w:rPr>
                <w:rFonts w:ascii="Arial" w:cs="Arial" w:eastAsia="Arial" w:hAnsi="Arial"/>
                <w:sz w:val="20"/>
                <w:szCs w:val="20"/>
              </w:rPr>
              <w:t xml:space="preserve">$40K</w:t>
            </w:r>
          </w:p>
        </w:tc>
        <w:tc>
          <w:tcPr>
            <w:tcW w:type="dxa" w:w="1920"/>
            <w:tcBorders>
              <w:top w:val="single" w:color="CCCCCC" w:sz="1"/>
              <w:left w:val="single" w:color="CCCCCC" w:sz="1"/>
              <w:bottom w:val="single" w:color="CCCCCC" w:sz="1"/>
              <w:right w:val="single" w:color="CCCCCC" w:sz="1"/>
            </w:tcBorders>
            <w:shd w:fill="F2F2F2" w:val="clear"/>
            <w:tcMar>
              <w:top w:type="dxa" w:w="70"/>
              <w:left w:type="dxa" w:w="80"/>
              <w:bottom w:type="dxa" w:w="70"/>
              <w:right w:type="dxa" w:w="80"/>
            </w:tcMar>
          </w:tcPr>
          <w:p>
            <w:pPr>
              <w:jc w:val="center"/>
            </w:pPr>
            <w:r>
              <w:rPr>
                <w:rFonts w:ascii="Arial" w:cs="Arial" w:eastAsia="Arial" w:hAnsi="Arial"/>
                <w:sz w:val="20"/>
                <w:szCs w:val="20"/>
              </w:rPr>
              <w:t xml:space="preserve">$195K</w:t>
            </w:r>
          </w:p>
        </w:tc>
        <w:tc>
          <w:tcPr>
            <w:tcW w:type="dxa" w:w="1920"/>
            <w:tcBorders>
              <w:top w:val="single" w:color="CCCCCC" w:sz="1"/>
              <w:left w:val="single" w:color="CCCCCC" w:sz="1"/>
              <w:bottom w:val="single" w:color="CCCCCC" w:sz="1"/>
              <w:right w:val="single" w:color="CCCCCC" w:sz="1"/>
            </w:tcBorders>
            <w:shd w:fill="F2F2F2" w:val="clear"/>
            <w:tcMar>
              <w:top w:type="dxa" w:w="70"/>
              <w:left w:type="dxa" w:w="80"/>
              <w:bottom w:type="dxa" w:w="70"/>
              <w:right w:type="dxa" w:w="80"/>
            </w:tcMar>
          </w:tcPr>
          <w:p>
            <w:pPr>
              <w:jc w:val="center"/>
            </w:pPr>
            <w:r>
              <w:rPr>
                <w:rFonts w:ascii="Arial" w:cs="Arial" w:eastAsia="Arial" w:hAnsi="Arial"/>
                <w:sz w:val="20"/>
                <w:szCs w:val="20"/>
              </w:rPr>
              <w:t xml:space="preserve">$250K</w:t>
            </w:r>
          </w:p>
        </w:tc>
        <w:tc>
          <w:tcPr>
            <w:tcW w:type="dxa" w:w="1920"/>
            <w:tcBorders>
              <w:top w:val="single" w:color="CCCCCC" w:sz="1"/>
              <w:left w:val="single" w:color="CCCCCC" w:sz="1"/>
              <w:bottom w:val="single" w:color="CCCCCC" w:sz="1"/>
              <w:right w:val="single" w:color="CCCCCC" w:sz="1"/>
            </w:tcBorders>
            <w:shd w:fill="F2F2F2" w:val="clear"/>
            <w:tcMar>
              <w:top w:type="dxa" w:w="70"/>
              <w:left w:type="dxa" w:w="80"/>
              <w:bottom w:type="dxa" w:w="70"/>
              <w:right w:type="dxa" w:w="80"/>
            </w:tcMar>
          </w:tcPr>
          <w:p>
            <w:pPr>
              <w:jc w:val="center"/>
            </w:pPr>
            <w:r>
              <w:rPr>
                <w:rFonts w:ascii="Arial" w:cs="Arial" w:eastAsia="Arial" w:hAnsi="Arial"/>
                <w:sz w:val="20"/>
                <w:szCs w:val="20"/>
              </w:rPr>
              <w:t xml:space="preserve">$400K</w:t>
            </w:r>
          </w:p>
        </w:tc>
      </w:tr>
      <w:tr>
        <w:tc>
          <w:tcPr>
            <w:tcW w:type="dxa" w:w="240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b/>
                <w:bCs/>
                <w:sz w:val="20"/>
                <w:szCs w:val="20"/>
              </w:rPr>
              <w:t xml:space="preserve">Grant &amp; WIOA revenue</w:t>
            </w:r>
          </w:p>
        </w:tc>
        <w:tc>
          <w:tcPr>
            <w:tcW w:type="dxa" w:w="192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b/>
                <w:bCs/>
                <w:color w:val="074D3A"/>
                <w:sz w:val="20"/>
                <w:szCs w:val="20"/>
              </w:rPr>
              <w:t xml:space="preserve">$80K</w:t>
            </w:r>
          </w:p>
        </w:tc>
        <w:tc>
          <w:tcPr>
            <w:tcW w:type="dxa" w:w="192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b/>
                <w:bCs/>
                <w:color w:val="074D3A"/>
                <w:sz w:val="20"/>
                <w:szCs w:val="20"/>
              </w:rPr>
              <w:t xml:space="preserve">$300K</w:t>
            </w:r>
          </w:p>
        </w:tc>
        <w:tc>
          <w:tcPr>
            <w:tcW w:type="dxa" w:w="192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b/>
                <w:bCs/>
                <w:color w:val="074D3A"/>
                <w:sz w:val="20"/>
                <w:szCs w:val="20"/>
              </w:rPr>
              <w:t xml:space="preserve">$500K</w:t>
            </w:r>
          </w:p>
        </w:tc>
        <w:tc>
          <w:tcPr>
            <w:tcW w:type="dxa" w:w="1920"/>
            <w:tcBorders>
              <w:top w:val="single" w:color="CCCCCC" w:sz="1"/>
              <w:left w:val="single" w:color="CCCCCC" w:sz="1"/>
              <w:bottom w:val="single" w:color="CCCCCC" w:sz="1"/>
              <w:right w:val="single" w:color="CCCCCC" w:sz="1"/>
            </w:tcBorders>
            <w:shd w:fill="E1F5EE" w:val="clear"/>
            <w:tcMar>
              <w:top w:type="dxa" w:w="70"/>
              <w:left w:type="dxa" w:w="80"/>
              <w:bottom w:type="dxa" w:w="70"/>
              <w:right w:type="dxa" w:w="80"/>
            </w:tcMar>
          </w:tcPr>
          <w:p>
            <w:pPr>
              <w:jc w:val="center"/>
            </w:pPr>
            <w:r>
              <w:rPr>
                <w:rFonts w:ascii="Arial" w:cs="Arial" w:eastAsia="Arial" w:hAnsi="Arial"/>
                <w:b/>
                <w:bCs/>
                <w:color w:val="074D3A"/>
                <w:sz w:val="20"/>
                <w:szCs w:val="20"/>
              </w:rPr>
              <w:t xml:space="preserve">$600K</w:t>
            </w:r>
          </w:p>
        </w:tc>
      </w:tr>
      <w:tr>
        <w:tc>
          <w:tcPr>
            <w:tcW w:type="dxa" w:w="2400"/>
            <w:tcBorders>
              <w:top w:val="single" w:color="CCCCCC" w:sz="1"/>
              <w:left w:val="single" w:color="CCCCCC" w:sz="1"/>
              <w:bottom w:val="single" w:color="CCCCCC" w:sz="1"/>
              <w:right w:val="single" w:color="CCCCCC" w:sz="1"/>
            </w:tcBorders>
            <w:shd w:fill="F2F2F2" w:val="clear"/>
            <w:tcMar>
              <w:top w:type="dxa" w:w="70"/>
              <w:left w:type="dxa" w:w="120"/>
              <w:bottom w:type="dxa" w:w="70"/>
              <w:right w:type="dxa" w:w="120"/>
            </w:tcMar>
          </w:tcPr>
          <w:p>
            <w:r>
              <w:rPr>
                <w:rFonts w:ascii="Arial" w:cs="Arial" w:eastAsia="Arial" w:hAnsi="Arial"/>
                <w:b/>
                <w:bCs/>
                <w:sz w:val="20"/>
                <w:szCs w:val="20"/>
              </w:rPr>
              <w:t xml:space="preserve">Member contributions</w:t>
            </w:r>
          </w:p>
        </w:tc>
        <w:tc>
          <w:tcPr>
            <w:tcW w:type="dxa" w:w="1920"/>
            <w:tcBorders>
              <w:top w:val="single" w:color="CCCCCC" w:sz="1"/>
              <w:left w:val="single" w:color="CCCCCC" w:sz="1"/>
              <w:bottom w:val="single" w:color="CCCCCC" w:sz="1"/>
              <w:right w:val="single" w:color="CCCCCC" w:sz="1"/>
            </w:tcBorders>
            <w:shd w:fill="F2F2F2" w:val="clear"/>
            <w:tcMar>
              <w:top w:type="dxa" w:w="70"/>
              <w:left w:type="dxa" w:w="80"/>
              <w:bottom w:type="dxa" w:w="70"/>
              <w:right w:type="dxa" w:w="80"/>
            </w:tcMar>
          </w:tcPr>
          <w:p>
            <w:pPr>
              <w:jc w:val="center"/>
            </w:pPr>
            <w:r>
              <w:rPr>
                <w:rFonts w:ascii="Arial" w:cs="Arial" w:eastAsia="Arial" w:hAnsi="Arial"/>
                <w:sz w:val="20"/>
                <w:szCs w:val="20"/>
              </w:rPr>
              <w:t xml:space="preserve">$15K</w:t>
            </w:r>
          </w:p>
        </w:tc>
        <w:tc>
          <w:tcPr>
            <w:tcW w:type="dxa" w:w="1920"/>
            <w:tcBorders>
              <w:top w:val="single" w:color="CCCCCC" w:sz="1"/>
              <w:left w:val="single" w:color="CCCCCC" w:sz="1"/>
              <w:bottom w:val="single" w:color="CCCCCC" w:sz="1"/>
              <w:right w:val="single" w:color="CCCCCC" w:sz="1"/>
            </w:tcBorders>
            <w:shd w:fill="F2F2F2" w:val="clear"/>
            <w:tcMar>
              <w:top w:type="dxa" w:w="70"/>
              <w:left w:type="dxa" w:w="80"/>
              <w:bottom w:type="dxa" w:w="70"/>
              <w:right w:type="dxa" w:w="80"/>
            </w:tcMar>
          </w:tcPr>
          <w:p>
            <w:pPr>
              <w:jc w:val="center"/>
            </w:pPr>
            <w:r>
              <w:rPr>
                <w:rFonts w:ascii="Arial" w:cs="Arial" w:eastAsia="Arial" w:hAnsi="Arial"/>
                <w:sz w:val="20"/>
                <w:szCs w:val="20"/>
              </w:rPr>
              <w:t xml:space="preserve">$36K</w:t>
            </w:r>
          </w:p>
        </w:tc>
        <w:tc>
          <w:tcPr>
            <w:tcW w:type="dxa" w:w="1920"/>
            <w:tcBorders>
              <w:top w:val="single" w:color="CCCCCC" w:sz="1"/>
              <w:left w:val="single" w:color="CCCCCC" w:sz="1"/>
              <w:bottom w:val="single" w:color="CCCCCC" w:sz="1"/>
              <w:right w:val="single" w:color="CCCCCC" w:sz="1"/>
            </w:tcBorders>
            <w:shd w:fill="F2F2F2" w:val="clear"/>
            <w:tcMar>
              <w:top w:type="dxa" w:w="70"/>
              <w:left w:type="dxa" w:w="80"/>
              <w:bottom w:type="dxa" w:w="70"/>
              <w:right w:type="dxa" w:w="80"/>
            </w:tcMar>
          </w:tcPr>
          <w:p>
            <w:pPr>
              <w:jc w:val="center"/>
            </w:pPr>
            <w:r>
              <w:rPr>
                <w:rFonts w:ascii="Arial" w:cs="Arial" w:eastAsia="Arial" w:hAnsi="Arial"/>
                <w:sz w:val="20"/>
                <w:szCs w:val="20"/>
              </w:rPr>
              <w:t xml:space="preserve">$60K</w:t>
            </w:r>
          </w:p>
        </w:tc>
        <w:tc>
          <w:tcPr>
            <w:tcW w:type="dxa" w:w="1920"/>
            <w:tcBorders>
              <w:top w:val="single" w:color="CCCCCC" w:sz="1"/>
              <w:left w:val="single" w:color="CCCCCC" w:sz="1"/>
              <w:bottom w:val="single" w:color="CCCCCC" w:sz="1"/>
              <w:right w:val="single" w:color="CCCCCC" w:sz="1"/>
            </w:tcBorders>
            <w:shd w:fill="F2F2F2" w:val="clear"/>
            <w:tcMar>
              <w:top w:type="dxa" w:w="70"/>
              <w:left w:type="dxa" w:w="80"/>
              <w:bottom w:type="dxa" w:w="70"/>
              <w:right w:type="dxa" w:w="80"/>
            </w:tcMar>
          </w:tcPr>
          <w:p>
            <w:pPr>
              <w:jc w:val="center"/>
            </w:pPr>
            <w:r>
              <w:rPr>
                <w:rFonts w:ascii="Arial" w:cs="Arial" w:eastAsia="Arial" w:hAnsi="Arial"/>
                <w:sz w:val="20"/>
                <w:szCs w:val="20"/>
              </w:rPr>
              <w:t xml:space="preserve">$120K</w:t>
            </w:r>
          </w:p>
        </w:tc>
      </w:tr>
      <w:tr>
        <w:tc>
          <w:tcPr>
            <w:tcW w:type="dxa" w:w="2400"/>
            <w:tcBorders>
              <w:top w:val="single" w:color="CCCCCC" w:sz="1"/>
              <w:left w:val="single" w:color="CCCCCC" w:sz="1"/>
              <w:bottom w:val="single" w:color="CCCCCC" w:sz="1"/>
              <w:right w:val="single" w:color="CCCCCC" w:sz="1"/>
            </w:tcBorders>
            <w:tcMar>
              <w:top w:type="dxa" w:w="70"/>
              <w:left w:type="dxa" w:w="120"/>
              <w:bottom w:type="dxa" w:w="70"/>
              <w:right w:type="dxa" w:w="120"/>
            </w:tcMar>
          </w:tcPr>
          <w:p>
            <w:r>
              <w:rPr>
                <w:rFonts w:ascii="Arial" w:cs="Arial" w:eastAsia="Arial" w:hAnsi="Arial"/>
                <w:b/>
                <w:bCs/>
                <w:sz w:val="20"/>
                <w:szCs w:val="20"/>
              </w:rPr>
              <w:t xml:space="preserve">Earned revenue (equity, licensing)</w:t>
            </w:r>
          </w:p>
        </w:tc>
        <w:tc>
          <w:tcPr>
            <w:tcW w:type="dxa" w:w="1920"/>
            <w:tcBorders>
              <w:top w:val="single" w:color="CCCCCC" w:sz="1"/>
              <w:left w:val="single" w:color="CCCCCC" w:sz="1"/>
              <w:bottom w:val="single" w:color="CCCCCC" w:sz="1"/>
              <w:right w:val="single" w:color="CCCCCC" w:sz="1"/>
            </w:tcBorders>
            <w:shd w:fill="FDF0E3" w:val="clear"/>
            <w:tcMar>
              <w:top w:type="dxa" w:w="70"/>
              <w:left w:type="dxa" w:w="80"/>
              <w:bottom w:type="dxa" w:w="70"/>
              <w:right w:type="dxa" w:w="80"/>
            </w:tcMar>
          </w:tcPr>
          <w:p>
            <w:pPr>
              <w:jc w:val="center"/>
            </w:pPr>
            <w:r>
              <w:rPr>
                <w:rFonts w:ascii="Arial" w:cs="Arial" w:eastAsia="Arial" w:hAnsi="Arial"/>
                <w:sz w:val="20"/>
                <w:szCs w:val="20"/>
              </w:rPr>
              <w:t xml:space="preserve">$0</w:t>
            </w:r>
          </w:p>
        </w:tc>
        <w:tc>
          <w:tcPr>
            <w:tcW w:type="dxa" w:w="1920"/>
            <w:tcBorders>
              <w:top w:val="single" w:color="CCCCCC" w:sz="1"/>
              <w:left w:val="single" w:color="CCCCCC" w:sz="1"/>
              <w:bottom w:val="single" w:color="CCCCCC" w:sz="1"/>
              <w:right w:val="single" w:color="CCCCCC" w:sz="1"/>
            </w:tcBorders>
            <w:shd w:fill="FDF0E3" w:val="clear"/>
            <w:tcMar>
              <w:top w:type="dxa" w:w="70"/>
              <w:left w:type="dxa" w:w="80"/>
              <w:bottom w:type="dxa" w:w="70"/>
              <w:right w:type="dxa" w:w="80"/>
            </w:tcMar>
          </w:tcPr>
          <w:p>
            <w:pPr>
              <w:jc w:val="center"/>
            </w:pPr>
            <w:r>
              <w:rPr>
                <w:rFonts w:ascii="Arial" w:cs="Arial" w:eastAsia="Arial" w:hAnsi="Arial"/>
                <w:sz w:val="20"/>
                <w:szCs w:val="20"/>
              </w:rPr>
              <w:t xml:space="preserve">$10K</w:t>
            </w:r>
          </w:p>
        </w:tc>
        <w:tc>
          <w:tcPr>
            <w:tcW w:type="dxa" w:w="1920"/>
            <w:tcBorders>
              <w:top w:val="single" w:color="CCCCCC" w:sz="1"/>
              <w:left w:val="single" w:color="CCCCCC" w:sz="1"/>
              <w:bottom w:val="single" w:color="CCCCCC" w:sz="1"/>
              <w:right w:val="single" w:color="CCCCCC" w:sz="1"/>
            </w:tcBorders>
            <w:shd w:fill="FDF0E3" w:val="clear"/>
            <w:tcMar>
              <w:top w:type="dxa" w:w="70"/>
              <w:left w:type="dxa" w:w="80"/>
              <w:bottom w:type="dxa" w:w="70"/>
              <w:right w:type="dxa" w:w="80"/>
            </w:tcMar>
          </w:tcPr>
          <w:p>
            <w:pPr>
              <w:jc w:val="center"/>
            </w:pPr>
            <w:r>
              <w:rPr>
                <w:rFonts w:ascii="Arial" w:cs="Arial" w:eastAsia="Arial" w:hAnsi="Arial"/>
                <w:sz w:val="20"/>
                <w:szCs w:val="20"/>
              </w:rPr>
              <w:t xml:space="preserve">$75K</w:t>
            </w:r>
          </w:p>
        </w:tc>
        <w:tc>
          <w:tcPr>
            <w:tcW w:type="dxa" w:w="1920"/>
            <w:tcBorders>
              <w:top w:val="single" w:color="CCCCCC" w:sz="1"/>
              <w:left w:val="single" w:color="CCCCCC" w:sz="1"/>
              <w:bottom w:val="single" w:color="CCCCCC" w:sz="1"/>
              <w:right w:val="single" w:color="CCCCCC" w:sz="1"/>
            </w:tcBorders>
            <w:shd w:fill="FDF0E3" w:val="clear"/>
            <w:tcMar>
              <w:top w:type="dxa" w:w="70"/>
              <w:left w:type="dxa" w:w="80"/>
              <w:bottom w:type="dxa" w:w="70"/>
              <w:right w:type="dxa" w:w="80"/>
            </w:tcMar>
          </w:tcPr>
          <w:p>
            <w:pPr>
              <w:jc w:val="center"/>
            </w:pPr>
            <w:r>
              <w:rPr>
                <w:rFonts w:ascii="Arial" w:cs="Arial" w:eastAsia="Arial" w:hAnsi="Arial"/>
                <w:sz w:val="20"/>
                <w:szCs w:val="20"/>
              </w:rPr>
              <w:t xml:space="preserve">$200K</w:t>
            </w:r>
          </w:p>
        </w:tc>
      </w:tr>
      <w:tr>
        <w:tc>
          <w:tcPr>
            <w:tcW w:type="dxa" w:w="2400"/>
            <w:tcBorders>
              <w:top w:val="single" w:color="CCCCCC" w:sz="1"/>
              <w:left w:val="single" w:color="CCCCCC" w:sz="1"/>
              <w:bottom w:val="single" w:color="CCCCCC" w:sz="1"/>
              <w:right w:val="single" w:color="CCCCCC" w:sz="1"/>
            </w:tcBorders>
            <w:shd w:fill="0B3D6B" w:val="clear"/>
            <w:tcMar>
              <w:top w:type="dxa" w:w="80"/>
              <w:left w:type="dxa" w:w="120"/>
              <w:bottom w:type="dxa" w:w="80"/>
              <w:right w:type="dxa" w:w="120"/>
            </w:tcMar>
          </w:tcPr>
          <w:p>
            <w:r>
              <w:rPr>
                <w:rFonts w:ascii="Arial" w:cs="Arial" w:eastAsia="Arial" w:hAnsi="Arial"/>
                <w:b/>
                <w:bCs/>
                <w:color w:val="FFFFFF"/>
                <w:sz w:val="20"/>
                <w:szCs w:val="20"/>
              </w:rPr>
              <w:t xml:space="preserve">NET to reserve / endowment</w:t>
            </w:r>
          </w:p>
        </w:tc>
        <w:tc>
          <w:tcPr>
            <w:tcW w:type="dxa" w:w="192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1AAF7A"/>
                <w:sz w:val="20"/>
                <w:szCs w:val="20"/>
              </w:rPr>
              <w:t xml:space="preserve">$55K+</w:t>
            </w:r>
          </w:p>
        </w:tc>
        <w:tc>
          <w:tcPr>
            <w:tcW w:type="dxa" w:w="192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1AAF7A"/>
                <w:sz w:val="20"/>
                <w:szCs w:val="20"/>
              </w:rPr>
              <w:t xml:space="preserve">$151K+</w:t>
            </w:r>
          </w:p>
        </w:tc>
        <w:tc>
          <w:tcPr>
            <w:tcW w:type="dxa" w:w="192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1AAF7A"/>
                <w:sz w:val="20"/>
                <w:szCs w:val="20"/>
              </w:rPr>
              <w:t xml:space="preserve">$385K+</w:t>
            </w:r>
          </w:p>
        </w:tc>
        <w:tc>
          <w:tcPr>
            <w:tcW w:type="dxa" w:w="1920"/>
            <w:tcBorders>
              <w:top w:val="single" w:color="CCCCCC" w:sz="1"/>
              <w:left w:val="single" w:color="CCCCCC" w:sz="1"/>
              <w:bottom w:val="single" w:color="CCCCCC" w:sz="1"/>
              <w:right w:val="single" w:color="CCCCCC" w:sz="1"/>
            </w:tcBorders>
            <w:shd w:fill="0B3D6B" w:val="clear"/>
            <w:tcMar>
              <w:top w:type="dxa" w:w="80"/>
              <w:left w:type="dxa" w:w="80"/>
              <w:bottom w:type="dxa" w:w="80"/>
              <w:right w:type="dxa" w:w="80"/>
            </w:tcMar>
          </w:tcPr>
          <w:p>
            <w:pPr>
              <w:jc w:val="center"/>
            </w:pPr>
            <w:r>
              <w:rPr>
                <w:rFonts w:ascii="Arial" w:cs="Arial" w:eastAsia="Arial" w:hAnsi="Arial"/>
                <w:b/>
                <w:bCs/>
                <w:color w:val="1AAF7A"/>
                <w:sz w:val="20"/>
                <w:szCs w:val="20"/>
              </w:rPr>
              <w:t xml:space="preserve">$520K+</w:t>
            </w:r>
          </w:p>
        </w:tc>
      </w:tr>
    </w:tbl>
    <w:p>
      <w:pPr>
        <w:spacing w:after="0" w:before="100"/>
      </w:pPr>
      <w:r>
        <w:t xml:space="preserve"/>
      </w:r>
    </w:p>
    <w:p>
      <w:pPr>
        <w:spacing w:after="120" w:before="60"/>
        <w:jc w:val="left"/>
      </w:pPr>
      <w:r>
        <w:rPr>
          <w:rFonts w:ascii="Arial" w:cs="Arial" w:eastAsia="Arial" w:hAnsi="Arial"/>
          <w:b w:val="false"/>
          <w:bCs w:val="false"/>
          <w:i/>
          <w:iCs/>
          <w:color w:val="6A6A65"/>
          <w:sz w:val="22"/>
          <w:szCs w:val="22"/>
        </w:rPr>
        <w:t xml:space="preserve">Note: P1/P2 cost per member declines as the Organizational Member network grows (more partners absorbing delivery costs), as members gain better benefits navigation (reduced direct Fund deployment), and as HAIS efficiency improvements reduce administrative overhead. Scale works in the Fund's favor.</w:t>
      </w:r>
    </w:p>
    <w:p>
      <w:pPr>
        <w:spacing w:after="0" w:before="200"/>
      </w:pPr>
      <w:r>
        <w:t xml:space="preserve"/>
      </w:r>
    </w:p>
    <w:p>
      <w:pPr>
        <w:pStyle w:val="Heading2"/>
        <w:spacing w:after="120" w:before="240"/>
      </w:pPr>
      <w:r>
        <w:rPr>
          <w:rFonts w:ascii="Arial" w:cs="Arial" w:eastAsia="Arial" w:hAnsi="Arial"/>
          <w:b/>
          <w:bCs/>
          <w:color w:val="074D3A"/>
          <w:sz w:val="26"/>
          <w:szCs w:val="26"/>
        </w:rPr>
        <w:t xml:space="preserve">Why Cost Per Member Falls Over Time</w:t>
      </w:r>
    </w:p>
    <w:p>
      <w:pPr>
        <w:spacing w:after="120" w:before="60"/>
        <w:jc w:val="left"/>
      </w:pPr>
      <w:r>
        <w:rPr>
          <w:rFonts w:ascii="Arial" w:cs="Arial" w:eastAsia="Arial" w:hAnsi="Arial"/>
          <w:b w:val="false"/>
          <w:bCs w:val="false"/>
          <w:i w:val="false"/>
          <w:iCs w:val="false"/>
          <w:color w:val="1C1C1A"/>
          <w:sz w:val="22"/>
          <w:szCs w:val="22"/>
        </w:rPr>
        <w:t xml:space="preserve">This is the counter-intuitive engine of HAC-ES sustainability: serving more members actually reduces the per-member cost. Three mechanisms drive this:</w:t>
      </w:r>
    </w:p>
    <w:p>
      <w:pPr>
        <w:spacing w:after="0" w:before="80"/>
      </w:pPr>
      <w:r>
        <w:t xml:space="preserve"/>
      </w:r>
    </w:p>
    <w:p>
      <w:pPr>
        <w:pStyle w:val="ListParagraph"/>
        <w:numPr>
          <w:ilvl w:val="0"/>
          <w:numId w:val="2"/>
        </w:numPr>
        <w:spacing w:after="60" w:before="40"/>
      </w:pPr>
      <w:r>
        <w:rPr>
          <w:rFonts w:ascii="Arial" w:cs="Arial" w:eastAsia="Arial" w:hAnsi="Arial"/>
          <w:sz w:val="22"/>
          <w:szCs w:val="22"/>
        </w:rPr>
        <w:t xml:space="preserve">Network effects: each new Organizational Member adds capacity available to all existing members at zero marginal cost. The 50th Organizational Member's food pantry capacity benefits Member 1 and Member 300 equally.</w:t>
      </w:r>
    </w:p>
    <w:p>
      <w:pPr>
        <w:pStyle w:val="ListParagraph"/>
        <w:numPr>
          <w:ilvl w:val="0"/>
          <w:numId w:val="2"/>
        </w:numPr>
        <w:spacing w:after="60" w:before="40"/>
      </w:pPr>
      <w:r>
        <w:rPr>
          <w:rFonts w:ascii="Arial" w:cs="Arial" w:eastAsia="Arial" w:hAnsi="Arial"/>
          <w:sz w:val="22"/>
          <w:szCs w:val="22"/>
        </w:rPr>
        <w:t xml:space="preserve">HAIS efficiency: the fixed cost of the HAIS platform is spread across more members. At 50 members, HAIS costs $200/member/year in tech. At 1,000 members, it costs $10/member/year. The marginal cost of serving one more member through an already-running system approaches zero.</w:t>
      </w:r>
    </w:p>
    <w:p>
      <w:pPr>
        <w:pStyle w:val="ListParagraph"/>
        <w:numPr>
          <w:ilvl w:val="0"/>
          <w:numId w:val="2"/>
        </w:numPr>
        <w:spacing w:after="60" w:before="40"/>
      </w:pPr>
      <w:r>
        <w:rPr>
          <w:rFonts w:ascii="Arial" w:cs="Arial" w:eastAsia="Arial" w:hAnsi="Arial"/>
          <w:sz w:val="22"/>
          <w:szCs w:val="22"/>
        </w:rPr>
        <w:t xml:space="preserve">Grant leverage: a track record of serving 500 members unlocks grants that $0 members cannot. The larger the impact report, the larger the grants, the lower the cost per member of P2 coverage.</w:t>
      </w:r>
    </w:p>
    <w:p>
      <w:pPr>
        <w:spacing w:after="0" w:before="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B3D6B" w:val="clear"/>
            <w:tcMar>
              <w:top w:type="dxa" w:w="280"/>
              <w:left w:type="dxa" w:w="480"/>
              <w:bottom w:type="dxa" w:w="280"/>
              <w:right w:type="dxa" w:w="480"/>
            </w:tcMar>
          </w:tcPr>
          <w:p>
            <w:pPr>
              <w:spacing w:after="100" w:before="0"/>
              <w:jc w:val="center"/>
            </w:pPr>
            <w:r>
              <w:rPr>
                <w:rFonts w:ascii="Arial" w:cs="Arial" w:eastAsia="Arial" w:hAnsi="Arial"/>
                <w:b/>
                <w:bCs/>
                <w:color w:val="FFFFFF"/>
                <w:sz w:val="28"/>
                <w:szCs w:val="28"/>
              </w:rPr>
              <w:t xml:space="preserve">The fund grows because the cooperative grows.</w:t>
            </w:r>
          </w:p>
          <w:p>
            <w:pPr>
              <w:spacing w:after="100" w:before="0"/>
              <w:jc w:val="center"/>
            </w:pPr>
            <w:r>
              <w:rPr>
                <w:rFonts w:ascii="Arial" w:cs="Arial" w:eastAsia="Arial" w:hAnsi="Arial"/>
                <w:b/>
                <w:bCs/>
                <w:color w:val="1AAF7A"/>
                <w:sz w:val="28"/>
                <w:szCs w:val="28"/>
              </w:rPr>
              <w:t xml:space="preserve">The cooperative grows because the fund delivers.</w:t>
            </w:r>
          </w:p>
          <w:p>
            <w:pPr>
              <w:spacing w:after="0" w:before="0"/>
              <w:jc w:val="center"/>
            </w:pPr>
            <w:r>
              <w:rPr>
                <w:rFonts w:ascii="Arial" w:cs="Arial" w:eastAsia="Arial" w:hAnsi="Arial"/>
                <w:color w:val="8BBFE8"/>
                <w:sz w:val="21"/>
                <w:szCs w:val="21"/>
              </w:rPr>
              <w:t xml:space="preserve">Every new member, every new Org Member, every grant secured, every cooperative incubated makes the whole system more valuable — and more resilient.</w:t>
            </w:r>
          </w:p>
        </w:tc>
      </w:tr>
    </w:tbl>
    <w:p>
      <w:pPr>
        <w:spacing w:after="0" w:before="120"/>
      </w:pPr>
      <w:r>
        <w:t xml:space="preserve"/>
      </w:r>
    </w:p>
    <w:p>
      <w:pPr>
        <w:pBdr>
          <w:bottom w:val="single" w:color="0D7A5A" w:sz="6" w:space="1"/>
        </w:pBdr>
        <w:spacing w:after="0" w:before="0"/>
      </w:pPr>
      <w:r>
        <w:t xml:space="preserve"/>
      </w:r>
    </w:p>
    <w:p>
      <w:pPr>
        <w:spacing w:after="0" w:before="60"/>
      </w:pPr>
      <w:r>
        <w:t xml:space="preserve"/>
      </w:r>
    </w:p>
    <w:p>
      <w:pPr>
        <w:spacing w:after="120" w:before="60"/>
        <w:jc w:val="left"/>
      </w:pPr>
      <w:r>
        <w:rPr>
          <w:rFonts w:ascii="Arial" w:cs="Arial" w:eastAsia="Arial" w:hAnsi="Arial"/>
          <w:b w:val="false"/>
          <w:bCs w:val="false"/>
          <w:i/>
          <w:iCs/>
          <w:color w:val="8A8A85"/>
          <w:sz w:val="22"/>
          <w:szCs w:val="22"/>
        </w:rPr>
        <w:t xml:space="preserve">Human Asset Cooperative of Eugene-Springfield  ·  Path of Growth, Launch Sequence &amp; Fund Sustainability  ·  Draft 1.0  ·  2026</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B3D6B" w:sz="4" w:space="1"/>
      </w:pBdr>
      <w:spacing w:after="0" w:before="80"/>
      <w:jc w:val="right"/>
    </w:pPr>
    <w:r>
      <w:rPr>
        <w:rFonts w:ascii="Arial" w:cs="Arial" w:eastAsia="Arial" w:hAnsi="Arial"/>
        <w:color w:val="6A6A65"/>
        <w:sz w:val="18"/>
        <w:szCs w:val="18"/>
      </w:rPr>
      <w:t xml:space="preserve">Page </w:t>
    </w:r>
    <w:r>
      <w:rPr>
        <w:rFonts w:ascii="Arial" w:cs="Arial" w:eastAsia="Arial" w:hAnsi="Arial"/>
        <w:color w:val="6A6A6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D7A5A" w:sz="4" w:space="1"/>
      </w:pBdr>
      <w:spacing w:after="80" w:before="0"/>
    </w:pPr>
    <w:r>
      <w:rPr>
        <w:rFonts w:ascii="Arial" w:cs="Arial" w:eastAsia="Arial" w:hAnsi="Arial"/>
        <w:color w:val="6A6A65"/>
        <w:sz w:val="18"/>
        <w:szCs w:val="18"/>
      </w:rPr>
      <w:t xml:space="preserve">Human Asset Cooperative of Eugene-Springfield  |  </w:t>
    </w:r>
    <w:r>
      <w:rPr>
        <w:rFonts w:ascii="Arial" w:cs="Arial" w:eastAsia="Arial" w:hAnsi="Arial"/>
        <w:b/>
        <w:bCs/>
        <w:color w:val="074D3A"/>
        <w:sz w:val="18"/>
        <w:szCs w:val="18"/>
      </w:rPr>
      <w:t xml:space="preserve">Path of Growth &amp; Fund Sustainability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B3D6B"/>
      <w:sz w:val="34"/>
      <w:szCs w:val="34"/>
    </w:rPr>
  </w:style>
  <w:style w:type="paragraph" w:styleId="Heading2">
    <w:name w:val="Heading 2"/>
    <w:basedOn w:val="Normal"/>
    <w:next w:val="Normal"/>
    <w:qFormat/>
    <w:pPr>
      <w:spacing w:after="120" w:before="240"/>
      <w:outlineLvl w:val="1"/>
    </w:pPr>
    <w:rPr>
      <w:rFonts w:ascii="Arial" w:cs="Arial" w:eastAsia="Arial" w:hAnsi="Arial"/>
      <w:b/>
      <w:bCs/>
      <w:color w:val="074D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2026-06-02T22:24:11.300Z</dcterms:created>
  <dcterms:modified xsi:type="dcterms:W3CDTF">2026-06-02T22:24:11.300Z</dcterms:modified>
</cp:coreProperties>
</file>

<file path=docProps/custom.xml><?xml version="1.0" encoding="utf-8"?>
<Properties xmlns="http://schemas.openxmlformats.org/officeDocument/2006/custom-properties" xmlns:vt="http://schemas.openxmlformats.org/officeDocument/2006/docPropsVTypes"/>
</file>