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4E5F"/>
          <w:sz w:val="36"/>
          <w:szCs w:val="36"/>
        </w:rPr>
        <w:t xml:space="preserve">HUMAN ASSET COOPERATIVE</w:t>
      </w:r>
    </w:p>
    <w:p>
      <w:pPr>
        <w:spacing w:after="240"/>
        <w:jc w:val="center"/>
      </w:pPr>
      <w:r>
        <w:rPr>
          <w:i/>
          <w:iCs/>
          <w:sz w:val="26"/>
          <w:szCs w:val="26"/>
        </w:rPr>
        <w:t xml:space="preserve">of Eugene-Springfield</w:t>
      </w:r>
    </w:p>
    <w:p>
      <w:pPr>
        <w:spacing w:after="80"/>
        <w:jc w:val="center"/>
      </w:pPr>
      <w:r>
        <w:rPr>
          <w:b/>
          <w:bCs/>
          <w:sz w:val="32"/>
          <w:szCs w:val="32"/>
        </w:rPr>
        <w:t xml:space="preserve">PROVEN MECHANISMS INTEGRATION</w:t>
      </w:r>
    </w:p>
    <w:p>
      <w:pPr>
        <w:pBdr>
          <w:bottom w:val="single" w:color="1F4E5F" w:sz="6" w:space="8"/>
        </w:pBdr>
        <w:spacing w:after="320"/>
        <w:jc w:val="center"/>
      </w:pPr>
      <w:r>
        <w:rPr>
          <w:i/>
          <w:iCs/>
          <w:sz w:val="20"/>
          <w:szCs w:val="20"/>
        </w:rPr>
        <w:t xml:space="preserve">Change Log &amp; Conflict Resolution Memo  ·  DRAFT — For Governing Council Review  ·  July 2026</w:t>
      </w:r>
    </w:p>
    <w:p>
      <w:pPr>
        <w:pStyle w:val="Heading1"/>
      </w:pPr>
      <w:r>
        <w:t xml:space="preserve">SCOPE AND METHOD</w:t>
      </w:r>
    </w:p>
    <w:p>
      <w:pPr>
        <w:spacing w:after="160"/>
      </w:pPr>
      <w:r>
        <w:t xml:space="preserve">This memo records the integration of the mechanisms specified in Proven Mechanisms, Adapted (July 2026) into the HAC-ES supporting document set. Following document-control practice, every change was applied as a clearly marked Amendment One addendum in a new file version; all original files are preserved unchanged. Each affected document was audited in full before amendment to locate integration points and conflicting language.</w:t>
      </w:r>
    </w:p>
    <w:p>
      <w:pPr>
        <w:pStyle w:val="Heading1"/>
      </w:pPr>
      <w:r>
        <w:t xml:space="preserve">DOCUMENTS UPDATED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Updated Document (new version)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Changes Applied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Articles &amp; Bylaws v4 (from v3 MarketHumanism)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Section 3.4 Dividend amended (universal, equal, earnings-only, fixed formula, two-thirds-of-all-voters amendment bar); new 3.7 Indivisible Principal; new 3.8 Cooperative Development Pool (3% of Organizational Member surplus); new 3.9 Solidarity Fund (3% rising to 10%); new 3.10 Worker Buyout &amp; Conversion Program; new 1.10 Pay Solidarity Standard (1:6, designation-based); group purchasing authorization; supersession clause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Asset Leverage Program v2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Mechanism 7: Conversion &amp; Buyout Finance (collateral pool backs acquisitions; 1:1 Development Pool match); 'six mechanisms' references amended to seven via existing Section 2 amendment authority; clarification that org surplus contributions are distinct from voluntary personal asset leverage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Employment Strategy v2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New Lever 8: Member Security Program (priority re-placement network-wide, 80% income bridge up to 24 months, Solidarity-funded); Lever 2 strengthened with Marcora-style matched buyout financing; succession conversions made the primary incubation pipeline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HAIS Employment Module Spec v2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Four new functions: F-MS1 displaced worker priority matching (Tier 2); F-MS2 income bridge administration (Tier 2 under Council rules); F-MS3 conversion target identification (outreach remains Tier 3/human); F-MS4 Solidarity Fund trigger monitoring (disbursement remains exclusive human decision)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HAIS Deployment Plan v2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Phase 2 additions: Group Purchasing Pool (success criterion: first group contract before Phase 2 exit); restricted fund accounts for 3.8/3.9. Phase 3 additions: anchor procurement tracking; Member Security functions; dividend transparency engine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Government Interface v2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New Anchor Procurement Program section: every CBA to include a specific annual purchasing commitment; pilot contract (PeaceHealth or UO) targeted before end of Phase 2; consistency note on anchors and the pay standard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Outreach Strategy v2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Value proposition updated (group purchasing, collective security, procurement access, succession solution); all three templates and the first-meeting packet updated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Democratic Governance Framework v2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Amendment threshold additions: dividend formula at two-thirds of all eligible voters; indivisible principal at unanimous threshold; pre-agreed Solidarity Fund rules (Mondragon lesson); designation-based pay standard enforcement; deployment hierarchy unchanged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Policy Brief v2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Oregon Marcora Act added to the legislative agenda (unemployment insurance capitalization for worker buyouts), assigned to Phase 3 Policy &amp; Advocacy Coordinator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Anti-Extraction Framework v2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New defense: indivisible reserves as the anti-demutualization lock, with HAIS monitoring row for the framework table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Organizational Structure v2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Staffing implications: no headcount changes; Phase 3 role expanded to Cooperative Conversion &amp; Development Manager; HAIS absorbs program administration per the organizing principle</w:t>
            </w:r>
          </w:p>
        </w:tc>
      </w:tr>
    </w:tbl>
    <w:p>
      <w:pPr>
        <w:spacing w:before="200"/>
      </w:pPr>
    </w:p>
    <w:p>
      <w:pPr>
        <w:spacing w:after="160"/>
      </w:pPr>
      <w:r>
        <w:rPr>
          <w:b/>
          <w:bCs/>
        </w:rPr>
        <w:t xml:space="preserve">Not updated: </w:t>
      </w:r>
      <w:r>
        <w:t xml:space="preserve">AI_Evolution_Strategy, Hanauer_Framework, HAIS_Deployment_Plan appendices, Operations_Staffing_Plan (covered by Organizational Structure v2 staffing note), Founding_Member_Flyer, and Website (marketing materials to be refreshed after Council adoption). Articles_and_Bylaws_Complete and Legal_Structure are designated archival — see Conflict 7.</w:t>
      </w:r>
    </w:p>
    <w:p>
      <w:pPr>
        <w:pStyle w:val="Heading1"/>
      </w:pPr>
      <w:r>
        <w:t xml:space="preserve">CONFLICTS FOUND AND RESOLVED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Conflict Found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Documents Involved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Resolution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Dividend weighted by member tenure vs. Alaska universality principle (equal, unconditional)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Bylaws v3 §3.4 vs. Proven Mechanisms §4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§3.4 amended: equal per-member amounts; tenure affects eligibility only (12-month good standing), never amount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Hard 1:6 pay ratio would bar anchor institutions (PeaceHealth, UO) that the outreach and procurement strategies depend on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Proven Mechanisms §1 vs. Outreach Strategy &amp; Government Interface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Ratio implemented as disclosed standard + Preferred Employer designation with procurement priority — not an admission bar; anchors engage fully via procurement and CBAs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Asset Leverage Program fixes 'six mechanisms' by name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Asset Leverage §2 vs. new buyout finance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Used the Program's own amendment authority (two-thirds Council vote) to add Mechanism 7; no bylaw conflict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Mandatory surplus contributions (3%/10%) vs. 'no member required to leverage personal assets'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Bylaws 3.8–3.9 vs. Asset Leverage principles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Clarified: the voluntariness principle covers individual personal assets; organizational surplus contributions are membership-agreement terms disclosed at admission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Indivisible principal vs. existing Priority 6 15% minimum reserve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New Bylaws §3.7 vs. Fund Deployment Hierarchy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Made complementary: the 15% reserve governs liquidity, indivisibility governs distribution; hierarchy and its amendment threshold untouched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Dividend formula amendment threshold unspecified (risk of new, inconsistent threshold class)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Proven Mechanisms §4 vs. Governance Framework thresholds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Pegged to the existing highest standard: two-thirds of all members eligible to vote (same as reductions of HAIS human oversight); no new threshold class created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Three overlapping bylaws documents could yield conflicting live versions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Bylaws v4 vs. Articles_and_Bylaws_Complete vs. Legal_Structure</w:t>
            </w:r>
          </w:p>
        </w:tc>
        <w:tc>
          <w:tcPr>
            <w:tcW w:type="dxa" w:w="3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Supersession clause in v4 Amendment; the two earlier documents designated archival reference only</w:t>
            </w:r>
          </w:p>
        </w:tc>
      </w:tr>
    </w:tbl>
    <w:p>
      <w:pPr>
        <w:spacing w:before="200"/>
      </w:pPr>
    </w:p>
    <w:p>
      <w:pPr>
        <w:pStyle w:val="Heading1"/>
      </w:pPr>
      <w:r>
        <w:t xml:space="preserve">ADOPTION CHECKLIST</w:t>
      </w:r>
    </w:p>
    <w:p>
      <w:pPr>
        <w:spacing w:after="160"/>
      </w:pPr>
      <w:r>
        <w:rPr>
          <w:b/>
          <w:bCs/>
        </w:rPr>
        <w:t xml:space="preserve">1. </w:t>
      </w:r>
      <w:r>
        <w:t xml:space="preserve">Governing Council review of this memo and the eleven amended documents.</w:t>
      </w:r>
    </w:p>
    <w:p>
      <w:pPr>
        <w:spacing w:after="160"/>
      </w:pPr>
      <w:r>
        <w:rPr>
          <w:b/>
          <w:bCs/>
        </w:rPr>
        <w:t xml:space="preserve">2. </w:t>
      </w:r>
      <w:r>
        <w:t xml:space="preserve">Legal counsel review of Bylaws v4 Amendment (securities implications of Mechanism 7; ORS Chapter 62 and 501(c)(4) consistency of restricted funds) — consistent with the counsel-review requirement already in the Asset Leverage Program.</w:t>
      </w:r>
    </w:p>
    <w:p>
      <w:pPr>
        <w:spacing w:after="160"/>
      </w:pPr>
      <w:r>
        <w:rPr>
          <w:b/>
          <w:bCs/>
        </w:rPr>
        <w:t xml:space="preserve">3. </w:t>
      </w:r>
      <w:r>
        <w:t xml:space="preserve">Member vote per existing thresholds: Bylaws amendments require two-thirds Council plus membership majority ratification with 30-day notice; the Section 3.7 indivisibility provision should be adopted at the unanimous anti-extraction threshold it will thereafter carry.</w:t>
      </w:r>
    </w:p>
    <w:p>
      <w:pPr>
        <w:spacing w:after="160"/>
      </w:pPr>
      <w:r>
        <w:rPr>
          <w:b/>
          <w:bCs/>
        </w:rPr>
        <w:t xml:space="preserve">4. </w:t>
      </w:r>
      <w:r>
        <w:t xml:space="preserve">On adoption: update Organizational Membership Agreement schedules (3% contribution, pay disclosure), activate the HAIS group purchasing build, and open anchor procurement conversations.</w:t>
      </w:r>
    </w:p>
    <w:p>
      <w:pPr>
        <w:pBdr>
          <w:top w:val="single" w:color="1F4E5F" w:sz="6" w:space="8"/>
        </w:pBdr>
        <w:spacing w:before="400"/>
      </w:pPr>
      <w:r>
        <w:rPr>
          <w:i/>
          <w:iCs/>
          <w:sz w:val="18"/>
          <w:szCs w:val="18"/>
        </w:rPr>
        <w:t xml:space="preserve">Human Asset Cooperative of Eugene-Springfield  ·  Integration Change Log  ·  Draft 1.0  ·  July 2026</w:t>
      </w:r>
    </w:p>
    <w:p>
      <w:r>
        <w:br w:type="page"/>
      </w:r>
    </w:p>
    <w:p>
      <w:pPr>
        <w:jc w:val="center"/>
      </w:pPr>
      <w:r>
        <w:rPr>
          <w:rFonts w:ascii="Arial" w:hAnsi="Arial"/>
          <w:b/>
          <w:color w:val="1F4E5F"/>
          <w:sz w:val="32"/>
        </w:rPr>
        <w:t>SUPPLEMENT — DUAL-ENTITY RESTRUCTURING (JULY 2026)</w:t>
      </w:r>
    </w:p>
    <w:p>
      <w:pPr>
        <w:jc w:val="center"/>
      </w:pPr>
      <w:r>
        <w:rPr>
          <w:rFonts w:ascii="Arial" w:hAnsi="Arial"/>
          <w:i/>
          <w:sz w:val="20"/>
        </w:rPr>
        <w:t>Appended following adoption of The Dual-Entity Structure</w:t>
      </w:r>
    </w:p>
    <w:p>
      <w:pPr>
        <w:spacing w:after="160"/>
        <w:jc w:val="both"/>
      </w:pPr>
      <w:r>
        <w:rPr>
          <w:rFonts w:ascii="Arial" w:hAnsi="Arial"/>
          <w:sz w:val="22"/>
        </w:rPr>
        <w:t>Scope: the organization restructured from a single ORS Ch. 62 nonprofit cooperative (501(c)(4) path) to two affiliated entities — the Human Asset Foundation (ORS Ch. 65, 501(c)(3) path) and the Human Asset Cooperative (ORS Ch. 62 worker cooperative). New documents: The Dual-Entity Structure (master) and Articles &amp; Bylaws v5 (Amendment Two). Entity-assignment amendments issued as new versions: Asset Leverage v3, Employment Strategy v3, HAIS Deployment Plan v4, Employment Module Spec v3, Democratic Governance v3, Anti-Extraction v3, Outreach v3, Government Interface v3, Policy Brief v3, Organizational Structure v3. The Onward Eugene Integration v2 consistency flag is resolved. Business Members added as a membership class (Bylaws Section 1.11).</w:t>
      </w:r>
    </w:p>
    <w:p>
      <w:pPr>
        <w:spacing w:after="160"/>
        <w:jc w:val="both"/>
      </w:pPr>
      <w:r>
        <w:rPr>
          <w:rFonts w:ascii="Arial" w:hAnsi="Arial"/>
          <w:sz w:val="22"/>
        </w:rPr>
        <w:t>Conflicts resolved in this supplement: (1) 501(c)(3) vs. universal dividend — universality preserved as a binding design constraint; entity vehicle deferred to counsel item C1 with membership ratification required before any distribution; (2) 501(c)(3) lobbying limits vs. the advocacy agenda — all advocacy assigned to the Cooperative; (3) prior 501(c)(4) references — superseded by Bylaws v5; (4) grant capacity vs. earned revenue — resolved structurally by the two-entity design. Open items requiring counsel before filing: C1 dividend vehicle, C2 related-party pricing, C3 UBIT allocation, C4 cost-sharing agreement.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Arial" w:cs="Arial" w:eastAsia="Arial" w:hAnsi="Arial"/>
      <w:b/>
      <w:bCs/>
      <w:color w:val="1F4E5F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2026-07-08T16:18:51.777Z</dcterms:created>
  <dcterms:modified xsi:type="dcterms:W3CDTF">2026-07-08T16:18:51.777Z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