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E5F"/>
          <w:sz w:val="36"/>
          <w:szCs w:val="36"/>
        </w:rPr>
        <w:t xml:space="preserve">HUMAN ASSET COOPERATIVE</w:t>
      </w:r>
    </w:p>
    <w:p>
      <w:pPr>
        <w:spacing w:after="240"/>
        <w:jc w:val="center"/>
      </w:pPr>
      <w:r>
        <w:rPr>
          <w:i/>
          <w:iCs/>
          <w:sz w:val="26"/>
          <w:szCs w:val="26"/>
        </w:rPr>
        <w:t xml:space="preserve">of Eugene-Springfield</w:t>
      </w:r>
    </w:p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PROVEN MECHANISMS, ADAPTED</w:t>
      </w:r>
    </w:p>
    <w:p>
      <w:pPr>
        <w:spacing w:after="80"/>
        <w:jc w:val="center"/>
      </w:pPr>
      <w:r>
        <w:rPr>
          <w:sz w:val="24"/>
          <w:szCs w:val="24"/>
        </w:rPr>
        <w:t xml:space="preserve">The Best Aspects of Working Cooperative Programs and How to Implement Them in HAC-ES</w:t>
      </w:r>
    </w:p>
    <w:p>
      <w:pPr>
        <w:pBdr>
          <w:bottom w:val="single" w:color="1F4E5F" w:sz="6" w:space="8"/>
        </w:pBdr>
        <w:spacing w:after="320"/>
        <w:jc w:val="center"/>
      </w:pPr>
      <w:r>
        <w:rPr>
          <w:i/>
          <w:iCs/>
          <w:sz w:val="20"/>
          <w:szCs w:val="20"/>
        </w:rPr>
        <w:t xml:space="preserve">DRAFT — For Member and Governing Council Review  ·  July 2026  ·  Companion to Area-Wide Cooperative Models</w:t>
      </w:r>
    </w:p>
    <w:p>
      <w:pPr>
        <w:pStyle w:val="Heading1"/>
      </w:pPr>
      <w:r>
        <w:t xml:space="preserve">PURPOSE</w:t>
      </w:r>
    </w:p>
    <w:p>
      <w:pPr>
        <w:spacing w:after="160"/>
      </w:pPr>
      <w:r>
        <w:t xml:space="preserve">The companion document established that the federation model is the workable architecture for area-wide cooperation. This document goes one level deeper: it extracts the specific mechanisms that make the world’s working cooperative systems succeed — not their general philosophy, but the concrete rules, funds, and programs that do the work — and specifies how each would be implemented inside the existing HAC-ES structure and phase plan.</w:t>
      </w:r>
    </w:p>
    <w:p>
      <w:pPr>
        <w:pStyle w:val="Heading1"/>
      </w:pPr>
      <w:r>
        <w:t xml:space="preserve">1. MONDRAGON: MUTUAL SECURITY AND SOLIDARITY RULES</w:t>
      </w:r>
    </w:p>
    <w:p>
      <w:pPr>
        <w:pStyle w:val="Heading2"/>
      </w:pPr>
      <w:r>
        <w:t xml:space="preserve">Best aspects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The 10% solidarity pool. </w:t>
      </w:r>
      <w:r>
        <w:t xml:space="preserve">Profitable cooperatives contribute roughly 10% of profits to a common fund that supports member coops running losses. This is why Mondragon coops survive downturns that kill comparable conventional firms.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Lagun Aro mutual security. </w:t>
      </w:r>
      <w:r>
        <w:t xml:space="preserve">When a coop closes or downsizes, members are not laid off into the market — they are relocated to other member coops, retrained if needed, and supported at roughly 80% of income for up to two years while placement is arranged. Employment security is collective, not per-firm.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The 1:6 pay solidarity ratio. </w:t>
      </w:r>
      <w:r>
        <w:t xml:space="preserve">Top compensation is capped at about six times the lowest, keeping surplus in the membership and leadership credible.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The cooperative bank. </w:t>
      </w:r>
      <w:r>
        <w:t xml:space="preserve">Caja Laboral did not just hold deposits — its entrepreneurial division actively incubated new cooperatives, pairing capital with hands-on business development. Finance and coop creation under one roof was the single biggest growth engine.</w:t>
      </w:r>
    </w:p>
    <w:p>
      <w:pPr>
        <w:pStyle w:val="Heading2"/>
      </w:pPr>
      <w:r>
        <w:t xml:space="preserve">Implementation in HAC-ES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Solidarity Fund. </w:t>
      </w:r>
      <w:r>
        <w:t xml:space="preserve">Add a schedule to the Organizational Member agreement: members pledge a percentage of annual surplus (start at 3%, rising toward 10% as membership benefits mature) into a HAIS-administered Solidarity Fund within the Human Asset Fund. The HAIS tracks contributions and triggers support disbursements under Governing Council rules — exactly the fund-administration work the HAIS is built for.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Member Security Program. </w:t>
      </w:r>
      <w:r>
        <w:t xml:space="preserve">Extend the existing Employment Strategy: when an Organizational Member fails or downsizes, the HAIS Employment Module matches displaced workers to openings across all member organizations first, with an income bridge (target 80%, funded by the Solidarity Fund) during retraining. This converts the Employment Module from a job board into Lagun Aro.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Pay ratio as membership standard. </w:t>
      </w:r>
      <w:r>
        <w:t xml:space="preserve">HAC-ES is already a Preferred Hours Employer internally. Adopt a disclosed pay-ratio standard (e.g., 1:6) as a criterion for Organizational Membership in good standing — disclosed via HAIS, enforced by member vote rather than expulsion.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Bank function later, fund function now. </w:t>
      </w:r>
      <w:r>
        <w:t xml:space="preserve">A chartered coop bank is a Full Scale goal. The near-term equivalent: pair every Asset Leverage loan with HAIS-supported business development, so capital never travels without competence — the actual Caja Laboral insight.</w:t>
      </w:r>
    </w:p>
    <w:p>
      <w:pPr>
        <w:pStyle w:val="Heading1"/>
      </w:pPr>
      <w:r>
        <w:t xml:space="preserve">2. EMILIA-ROMAGNA: LEGAL PLUMBING THAT COMPOUNDS</w:t>
      </w:r>
    </w:p>
    <w:p>
      <w:pPr>
        <w:pStyle w:val="Heading2"/>
      </w:pPr>
      <w:r>
        <w:t xml:space="preserve">Best aspects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The 3% rule. </w:t>
      </w:r>
      <w:r>
        <w:t xml:space="preserve">Italian coops contribute 3% of profits to national cooperative development funds (e.g., Legacoop’s Coopfond), which finance new coop creation. A tiny, painless levy compounds into a permanent development engine.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Indivisible reserves. </w:t>
      </w:r>
      <w:r>
        <w:t xml:space="preserve">Profits retained in indivisible reserves — assets that can never be distributed to members, even at dissolution — are tax-favored (Italy’s Pandolfi Law). The asset lock guarantees each generation builds on, rather than cashes out, the last.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Marcora Law worker buyouts. </w:t>
      </w:r>
      <w:r>
        <w:t xml:space="preserve">Workers of failing firms can capitalize their unemployment benefits into share capital of a rescue cooperative, and institutional funds (Coopfond, CFI) match or double the workers’ capital. In Emilia-Romagna since 2007 this has created 56 cooperatives and saved nearly 1,200 jobs.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Competing coops, shared consortia. </w:t>
      </w:r>
      <w:r>
        <w:t xml:space="preserve">Coops compete in the market but jointly own consortia for purchasing, bidding, and services — accountability and scale at once.</w:t>
      </w:r>
    </w:p>
    <w:p>
      <w:pPr>
        <w:pStyle w:val="Heading2"/>
      </w:pPr>
      <w:r>
        <w:t xml:space="preserve">Implementation in HAC-ES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Adopt the 3% rule now. </w:t>
      </w:r>
      <w:r>
        <w:t xml:space="preserve">It is the cheapest, most proven mechanism on this list and requires only an Organizational Member agreement schedule. Route it into a dedicated Cooperative Development Pool inside the Human Asset Fund, restricted to incubating and converting cooperatives.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>Write indivisible reserves into the Bylaws. Amend to designate a stated share of any HAC-ES surplus (and dissolution assets, consistent with the dual-entity structure and 501(c)(3) requirements) as permanently indivisible and dedicated to cooperative purposes. Oregon lacks Italy’s tax incentive, but the asset lock itself is what protects the Fund from a future demutualization vote.</w:t>
      </w:r>
      <w:r/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Local Marcora program. </w:t>
      </w:r>
      <w:r>
        <w:t xml:space="preserve">Oregon has no unemployment-capitalization law, so replicate the matching side: when workers of a closing Lane County business organize a buyout cooperative, the Cooperative Development Pool matches worker capital (initially 1:1) and the Asset Leverage collateral pool backs their acquisition loan. Advocate through the Policy and Advocacy Coordinator (Phase 3 hire) for an Oregon Marcora-style statute — a concrete, winnable legislative goal already consistent with the Policy Brief on redefining work.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Consortium services via HAIS. </w:t>
      </w:r>
      <w:r>
        <w:t xml:space="preserve">The HAIS already is the shared consortium: extend it with a group purchasing pool (insurance, supplies, software) as a Phase 2 quick win — immediate, visible member value at near-zero marginal cost.</w:t>
      </w:r>
    </w:p>
    <w:p>
      <w:pPr>
        <w:pStyle w:val="Heading1"/>
      </w:pPr>
      <w:r>
        <w:t xml:space="preserve">3. EVERGREEN (CLEVELAND): DEMAND FIRST, THEN BUSINESSES</w:t>
      </w:r>
    </w:p>
    <w:p>
      <w:pPr>
        <w:pStyle w:val="Heading2"/>
      </w:pPr>
      <w:r>
        <w:t xml:space="preserve">Best aspects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Anchor institution procurement. </w:t>
      </w:r>
      <w:r>
        <w:t xml:space="preserve">Evergreen’s coops were built against committed purchasing from hospitals and universities — over $5 million in seed procurement guarantees from operating budgets, not charity. Businesses launched with customers, not hopes.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The nonprofit holding company. </w:t>
      </w:r>
      <w:r>
        <w:t xml:space="preserve">Evergreen Cooperative Corporation incubates each coop, holds it accountable, and recycles profits into the next launch — replication is designed in.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The Fund for Employee Ownership. </w:t>
      </w:r>
      <w:r>
        <w:t xml:space="preserve">Rather than only starting coops from scratch, the Fund buys healthy small businesses from retiring owners and converts them to employee ownership. This is the fastest, lowest-risk way to grow a cooperative economy — the business model is already proven; only the ownership changes.</w:t>
      </w:r>
    </w:p>
    <w:p>
      <w:pPr>
        <w:pStyle w:val="Heading2"/>
      </w:pPr>
      <w:r>
        <w:t xml:space="preserve">Implementation in HAC-ES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Map and sign the anchors. </w:t>
      </w:r>
      <w:r>
        <w:t xml:space="preserve">Eugene-Springfield’s anchor set is strong: PeaceHealth, the University of Oregon, Lane Community College, EWEB, Lane County, and the two city governments. The Government Interface strategy already targets them — sharpen the ask from partnership to procurement: a specific annual purchasing commitment directed to Organizational Member businesses, brokered and tracked by the HAIS. One pilot contract (e.g., laundry, groundskeeping, local food) before end of Phase 2.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Use the existing incubation plan as the holding structure. </w:t>
      </w:r>
      <w:r>
        <w:t xml:space="preserve">The Phase 3 cooperative incubation cohort should operate on Evergreen rules: HAC-ES provides capital and HAIS services, retains a repayable stake, and recycles returns into the next cohort.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Succession conversions first. </w:t>
      </w:r>
      <w:r>
        <w:t xml:space="preserve">A large share of Lane County small-business owners are near retirement with no succession plan. A HAC-ES Conversion Program — Development Pool capital plus Asset Leverage financing plus HAIS administration — buys and converts one business in Phase 3 as proof, then scales. This should be the incubation program’s primary pipeline, because conversions outperform startups.</w:t>
      </w:r>
    </w:p>
    <w:p>
      <w:pPr>
        <w:pStyle w:val="Heading1"/>
      </w:pPr>
      <w:r>
        <w:t xml:space="preserve">4. ALASKA PERMANENT FUND: RULES THAT MAKE UNIVERSALITY DURABLE</w:t>
      </w:r>
    </w:p>
    <w:p>
      <w:pPr>
        <w:pStyle w:val="Heading2"/>
      </w:pPr>
      <w:r>
        <w:t xml:space="preserve">Best aspects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Protected principal. </w:t>
      </w:r>
      <w:r>
        <w:t xml:space="preserve">Only earnings are distributed; the corpus is constitutionally protected. The fund grows through every political cycle.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Universal, equal, unconditional dividends. </w:t>
      </w:r>
      <w:r>
        <w:t xml:space="preserve">Every resident gets the same amount. Universality is why the dividend has survived four decades of politics — everyone defends what everyone receives.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A published formula. </w:t>
      </w:r>
      <w:r>
        <w:t xml:space="preserve">Payouts follow a transparent formula, not annual discretion, removing the yearly fight over who gets what.</w:t>
      </w:r>
    </w:p>
    <w:p>
      <w:pPr>
        <w:pStyle w:val="Heading2"/>
      </w:pPr>
      <w:r>
        <w:t xml:space="preserve">Implementation in HAC-ES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Constitutionalize the Human Asset Fund. </w:t>
      </w:r>
      <w:r>
        <w:t xml:space="preserve">Before the first Human Asset Dividend (Phase 4), amend the Bylaws to make the Fund’s principal indivisible (Section 2 above), distribute from earnings only, and fix the dividend formula in the Bylaws — changeable only by supermajority member vote. The HAIS publishes the formula, the Fund balance, and every distribution in real time.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Keep it universal among members. </w:t>
      </w:r>
      <w:r>
        <w:t xml:space="preserve">Equal dividends to every Individual Member regardless of contribution level. Means-testing or contribution-weighting the dividend would trade short-term fairness arguments for long-term political fragility — the Alaska lesson is that universality is the protection.</w:t>
      </w:r>
    </w:p>
    <w:p>
      <w:pPr>
        <w:pStyle w:val="Heading1"/>
      </w:pPr>
      <w:r>
        <w:t xml:space="preserve">5. EVERYDAY FEDERATIONS: THE QUIET INFRASTRUCTURE</w:t>
      </w:r>
    </w:p>
    <w:p>
      <w:pPr>
        <w:spacing w:after="160"/>
      </w:pPr>
      <w:r>
        <w:t xml:space="preserve">ACE Hardware (retailer-owned purchasing), credit union leagues (shared compliance, technology, and advocacy), and rural electric co-op networks prove the unglamorous point: the stickiest federation benefit is shared back-office capacity. HAC-ES’s structural advantage is that the HAIS delivers this from day one at a marginal cost no historical federation could match. The implementation rule: every new HAIS capability should be exposed to Organizational Members as a service — bookkeeping support, compliance calendars, group purchasing, benefits administration — because each service raises the practical cost of leaving and the practical value of joining.</w:t>
      </w:r>
    </w:p>
    <w:p>
      <w:pPr>
        <w:pStyle w:val="Heading1"/>
      </w:pPr>
      <w:r>
        <w:t xml:space="preserve">IMPLEMENTATION ROADMAP</w:t>
      </w:r>
    </w:p>
    <w:p>
      <w:pPr>
        <w:spacing w:after="160"/>
      </w:pPr>
      <w:r>
        <w:t xml:space="preserve">Mapped to the existing phase plan (Organizational Structure, Draft 1.0). HAC-ES is currently in Phase 2.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830"/>
        <w:gridCol w:w="3830"/>
      </w:tblGrid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Phase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Mechanism to Implement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Source Program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Phase 2 (now, 2026)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Group purchasing pool via HAIS; indivisible reserve clause added to Bylaws; anchor institution outreach begins (PeaceHealth, UO, EWEB, Lane County)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ACE/credit union leagues; Emilia-Romagna; Evergreen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Phase 2–3 boundary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Solidarity Fund: Organizational Members pledge 3% of annual surplus; first anchor procurement pilot contract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Emilia-Romagna (Coopfond); Evergreen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Phase 3 (2027–29)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Worker buyout program targeting retiring owners; incubation cohort under nonprofit holding structure; Member Security Program (relocation + income bridge)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Marcora Law; Evergreen; Mondragon (Lagun Aro)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Phase 4 (2029+)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Human Asset Dividend launched on Permanent Fund rules (protected principal, universal equal payout, published formula); profit-pooling stabilization fund at 10% for mature member coops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Alaska Permanent Fund; Mondragon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Full scale (2032+)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Cooperative development bank function (fund + technical assistance under one roof); federation-wide mutual insurance</w:t>
            </w:r>
          </w:p>
        </w:tc>
        <w:tc>
          <w:tcPr>
            <w:tcW w:type="dxa" w:w="383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Mondragon (Caja Laboral); Lagun Aro</w:t>
            </w:r>
          </w:p>
        </w:tc>
      </w:tr>
    </w:tbl>
    <w:p>
      <w:pPr>
        <w:spacing w:before="240"/>
      </w:pPr>
    </w:p>
    <w:p>
      <w:pPr>
        <w:pStyle w:val="Heading1"/>
      </w:pPr>
      <w:r>
        <w:t xml:space="preserve">THE THREE MOVES THAT MATTER MOST IN 2026</w:t>
      </w:r>
    </w:p>
    <w:p>
      <w:pPr>
        <w:spacing w:after="160"/>
      </w:pPr>
      <w:r>
        <w:rPr>
          <w:b/>
          <w:bCs/>
        </w:rPr>
        <w:t xml:space="preserve">First: launch group purchasing through the HAIS. </w:t>
      </w:r>
      <w:r>
        <w:t xml:space="preserve">Smallest lift, fastest visible member value, and the recruiting argument for the next twenty Organizational Members.</w:t>
      </w:r>
    </w:p>
    <w:p>
      <w:pPr>
        <w:spacing w:after="160"/>
      </w:pPr>
      <w:r>
        <w:rPr>
          <w:b/>
          <w:bCs/>
        </w:rPr>
        <w:t xml:space="preserve">Second: adopt the 3% Development Pool contribution and the indivisible reserve amendment together. </w:t>
      </w:r>
      <w:r>
        <w:t xml:space="preserve">One member vote, minimal cost, and it installs the two legal mechanisms that made Emilia-Romagna compound for seventy years.</w:t>
      </w:r>
    </w:p>
    <w:p>
      <w:pPr>
        <w:spacing w:after="160"/>
      </w:pPr>
      <w:r>
        <w:rPr>
          <w:b/>
          <w:bCs/>
        </w:rPr>
        <w:t xml:space="preserve">Third: get one anchor procurement pilot signed. </w:t>
      </w:r>
      <w:r>
        <w:t xml:space="preserve">Nothing recruits businesses to a federation like a customer. A single contract from PeaceHealth or the University of Oregon converts the HAC-ES pitch from vision to revenue.</w:t>
      </w:r>
    </w:p>
    <w:p>
      <w:pPr>
        <w:pStyle w:val="Heading1"/>
      </w:pPr>
      <w:r>
        <w:t xml:space="preserve">SOURCES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Mondragon Corporation — profit pooling, Lagun Aro relocation and income support, 1:6 pay ratio (mondragon-corporation.com; Corporate Rebels; Resilience.org)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Marcora Law and Coopfond — ICA (ica.coop); Emilia-Romagna Region workers buyout program (imprese.regione.emilia-romagna.it); ESF+ Study on Workers’ Buyout Italy (fi-compass.eu)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Evergreen Cooperatives — evgoh.com; Fund for Employee Ownership (evgoh.com/tfeo); Social Innovations Journal (2025); Fifty by Fifty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Alaska Permanent Fund — apfc.org (fund rules and dividend history)</w:t>
      </w:r>
    </w:p>
    <w:p>
      <w:pPr>
        <w:pBdr>
          <w:top w:val="single" w:color="1F4E5F" w:sz="6" w:space="8"/>
        </w:pBdr>
        <w:spacing w:before="400"/>
      </w:pPr>
      <w:r>
        <w:rPr>
          <w:i/>
          <w:iCs/>
          <w:sz w:val="18"/>
          <w:szCs w:val="18"/>
        </w:rPr>
        <w:t xml:space="preserve">Human Asset Cooperative of Eugene-Springfield  ·  Proven Mechanisms, Adapted  ·  Draft 1.0  ·  July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Arial" w:cs="Arial" w:eastAsia="Arial" w:hAnsi="Arial"/>
      <w:b/>
      <w:bCs/>
      <w:color w:val="1F4E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40" w:before="240"/>
      <w:outlineLvl w:val="1"/>
    </w:pPr>
    <w:rPr>
      <w:rFonts w:ascii="Arial" w:cs="Arial" w:eastAsia="Arial" w:hAnsi="Arial"/>
      <w:b/>
      <w:bCs/>
      <w:sz w:val="25"/>
      <w:szCs w:val="25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2026-07-08T15:50:38.396Z</dcterms:created>
  <dcterms:modified xsi:type="dcterms:W3CDTF">2026-07-08T15:50:38.397Z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