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6B4F9E" w:val="clear"/>
            <w:tcMar>
              <w:top w:type="dxa" w:w="360"/>
              <w:left w:type="dxa" w:w="480"/>
              <w:bottom w:type="dxa" w:w="320"/>
              <w:right w:type="dxa" w:w="480"/>
            </w:tcMar>
          </w:tcPr>
          <w:p>
            <w:pPr>
              <w:spacing w:after="80" w:before="0"/>
            </w:pPr>
            <w:r>
              <w:rPr>
                <w:rFonts w:ascii="Arial" w:cs="Arial" w:eastAsia="Arial" w:hAnsi="Arial"/>
                <w:b/>
                <w:bCs/>
                <w:color w:val="FFFFFF"/>
                <w:sz w:val="44"/>
                <w:szCs w:val="44"/>
              </w:rPr>
              <w:t xml:space="preserve">HUMAN ASSET COOPERATIVE</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 References to the Cooperative in this document apply to the relevant entity in context.</w:t>
            </w:r>
          </w:p>
          <w:p>
            <w:pPr>
              <w:spacing w:after="100" w:before="0"/>
            </w:pPr>
            <w:r>
              <w:rPr>
                <w:rFonts w:ascii="Arial" w:cs="Arial" w:eastAsia="Arial" w:hAnsi="Arial"/>
                <w:i/>
                <w:iCs/>
                <w:color w:val="D4A8FF"/>
                <w:sz w:val="28"/>
                <w:szCs w:val="28"/>
              </w:rPr>
              <w:t xml:space="preserve">of Eugene-Springfield</w:t>
            </w:r>
          </w:p>
          <w:p>
            <w:pPr>
              <w:spacing w:after="0" w:before="0"/>
            </w:pPr>
            <w:r>
              <w:rPr>
                <w:rFonts w:ascii="Arial" w:cs="Arial" w:eastAsia="Arial" w:hAnsi="Arial"/>
                <w:b/>
                <w:bCs/>
                <w:color w:val="E8D5FF"/>
                <w:sz w:val="20"/>
                <w:szCs w:val="20"/>
              </w:rPr>
              <w:t xml:space="preserve">BENEFITS FOR RETIRED MEMBERS ON SOCIAL SECURITY  |  2026</w:t>
            </w:r>
          </w:p>
        </w:tc>
      </w:tr>
    </w:tbl>
    <w:p>
      <w:pPr>
        <w:spacing w:after="0" w:before="1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6B4F9E" w:sz="4"/>
              <w:left w:val="single" w:color="6B4F9E" w:sz="24"/>
              <w:bottom w:val="single" w:color="6B4F9E" w:sz="4"/>
              <w:right w:val="none" w:color="FFFFFF" w:sz="0"/>
            </w:tcBorders>
            <w:shd w:fill="F3EEF9" w:val="clear"/>
            <w:tcMar>
              <w:top w:type="dxa" w:w="120"/>
              <w:left w:type="dxa" w:w="240"/>
              <w:bottom w:type="dxa" w:w="120"/>
              <w:right w:type="dxa" w:w="240"/>
            </w:tcMar>
          </w:tcPr>
          <w:p>
            <w:pPr>
              <w:spacing w:after="0" w:before="0"/>
            </w:pPr>
            <w:r>
              <w:rPr>
                <w:rFonts w:ascii="Arial" w:cs="Arial" w:eastAsia="Arial" w:hAnsi="Arial"/>
                <w:i/>
                <w:iCs/>
                <w:color w:val="6B4F9E"/>
                <w:sz w:val="22"/>
                <w:szCs w:val="22"/>
              </w:rPr>
              <w:t xml:space="preserve">You spent decades contributing to this community and this economy. HAC-ES is the cooperative infrastructure that gives back — and formally recognizes that your contribution didn't stop when your paycheck did.</w:t>
            </w:r>
          </w:p>
        </w:tc>
      </w:tr>
    </w:tbl>
    <w:p>
      <w:pPr>
        <w:spacing w:after="0" w:before="140"/>
      </w:pPr>
      <w:r>
        <w:t xml:space="preserve"/>
      </w:r>
    </w:p>
    <w:p>
      <w:pPr>
        <w:spacing w:after="100" w:before="60"/>
        <w:jc w:val="left"/>
      </w:pPr>
      <w:r>
        <w:rPr>
          <w:rFonts w:ascii="Arial" w:cs="Arial" w:eastAsia="Arial" w:hAnsi="Arial"/>
          <w:b w:val="false"/>
          <w:bCs w:val="false"/>
          <w:i w:val="false"/>
          <w:iCs w:val="false"/>
          <w:color w:val="1C1C1A"/>
          <w:sz w:val="22"/>
          <w:szCs w:val="22"/>
        </w:rPr>
        <w:t xml:space="preserve">Retired Social Security recipients face a specific economic squeeze: fixed monthly income ($1,200–$2,200 typical), rising utility and healthcare costs, and limited ability to earn more. HAC-ES addresses each pressure point directly — through programs most retirees qualify for but have never claimed, green energy savings that cut monthly bills permanently, and a cooperative community that values your time and knowledge.</w:t>
      </w:r>
    </w:p>
    <w:p>
      <w:pPr>
        <w:spacing w:after="0" w:before="200"/>
      </w:pPr>
      <w:r>
        <w:t xml:space="preserve"/>
      </w:r>
    </w:p>
    <w:p>
      <w:pPr>
        <w:pStyle w:val="Heading2"/>
      </w:pPr>
      <w:r>
        <w:rPr>
          <w:rFonts w:ascii="Arial" w:cs="Arial" w:eastAsia="Arial" w:hAnsi="Arial"/>
          <w:b/>
          <w:bCs/>
          <w:color w:val="6B4F9E"/>
          <w:sz w:val="26"/>
          <w:szCs w:val="26"/>
        </w:rPr>
        <w:t xml:space="preserve">Healthcare &amp; Prescription Savings</w:t>
      </w:r>
    </w:p>
    <w:p>
      <w:pPr>
        <w:pBdr>
          <w:bottom w:val="single" w:color="6B4F9E"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6B4F9E"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6B4F9E"/>
                <w:sz w:val="22"/>
                <w:szCs w:val="22"/>
              </w:rPr>
              <w:t xml:space="preserve">Medicare Savings Programs (QMB, SLMB, QI)</w:t>
            </w:r>
          </w:p>
          <w:p>
            <w:pPr>
              <w:spacing w:after="50" w:before="0"/>
            </w:pPr>
            <w:r>
              <w:rPr>
                <w:rFonts w:ascii="Arial" w:cs="Arial" w:eastAsia="Arial" w:hAnsi="Arial"/>
                <w:color w:val="3D3D3A"/>
                <w:sz w:val="20"/>
                <w:szCs w:val="20"/>
              </w:rPr>
              <w:t xml:space="preserve">Medicare Savings Programs pay your Medicare Part B premium ($174.70/month in 2026), deductibles, and co-pays. Fewer than half of qualifying Social Security recipients are enrolled. HAC-ES identifies eligibility through the HAIS and navigates the OHA application and appeals process for every qualifying member — including annual renewal so you never lose coverage.</w:t>
            </w:r>
          </w:p>
          <w:p>
            <w:pPr>
              <w:spacing w:after="0" w:before="0"/>
            </w:pPr>
            <w:r>
              <w:rPr>
                <w:rFonts w:ascii="Arial" w:cs="Arial" w:eastAsia="Arial" w:hAnsi="Arial"/>
                <w:b/>
                <w:bCs/>
                <w:color w:val="6B4F9E"/>
                <w:sz w:val="20"/>
                <w:szCs w:val="20"/>
              </w:rPr>
              <w:t xml:space="preserve">Potential savings: $2,096+/year in Medicare Part B premiums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6B4F9E"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6B4F9E"/>
                <w:sz w:val="22"/>
                <w:szCs w:val="22"/>
              </w:rPr>
              <w:t xml:space="preserve">Extra Help (Low Income Subsidy) for Part D Prescriptions</w:t>
            </w:r>
          </w:p>
          <w:p>
            <w:pPr>
              <w:spacing w:after="50" w:before="0"/>
            </w:pPr>
            <w:r>
              <w:rPr>
                <w:rFonts w:ascii="Arial" w:cs="Arial" w:eastAsia="Arial" w:hAnsi="Arial"/>
                <w:color w:val="3D3D3A"/>
                <w:sz w:val="20"/>
                <w:szCs w:val="20"/>
              </w:rPr>
              <w:t xml:space="preserve">The Medicare Part D Extra Help program pays most prescription drug plan premiums, deductibles, and co-pays for qualifying recipients. The SSA estimates 1 in 3 who qualify have not applied. HAC-ES identifies eligibility, files the application, and manages the annual re-enrollment automatically so members never fall through the cracks during open enrollment.</w:t>
            </w:r>
          </w:p>
          <w:p>
            <w:pPr>
              <w:spacing w:after="0" w:before="0"/>
            </w:pPr>
            <w:r>
              <w:rPr>
                <w:rFonts w:ascii="Arial" w:cs="Arial" w:eastAsia="Arial" w:hAnsi="Arial"/>
                <w:b/>
                <w:bCs/>
                <w:color w:val="6B4F9E"/>
                <w:sz w:val="20"/>
                <w:szCs w:val="20"/>
              </w:rPr>
              <w:t xml:space="preserve">Potential savings: $5,000+/year in drug costs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74D3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74D3A"/>
                <w:sz w:val="22"/>
                <w:szCs w:val="22"/>
              </w:rPr>
              <w:t xml:space="preserve">Oregon Health Plan (OHP) / Medicaid for Seniors</w:t>
            </w:r>
          </w:p>
          <w:p>
            <w:pPr>
              <w:spacing w:after="50" w:before="0"/>
            </w:pPr>
            <w:r>
              <w:rPr>
                <w:rFonts w:ascii="Arial" w:cs="Arial" w:eastAsia="Arial" w:hAnsi="Arial"/>
                <w:color w:val="3D3D3A"/>
                <w:sz w:val="20"/>
                <w:szCs w:val="20"/>
              </w:rPr>
              <w:t xml:space="preserve">Oregon seniors with income below 138% of the federal poverty level may qualify for OHP alongside Medicare, covering dental, vision, hearing aids, and long-term services Medicare doesn't cover. HAC-ES screens all members for dual-eligibility and coordinates enrollment — because Medicaid-Medicare integration paperwork is notoriously complex.</w:t>
            </w:r>
          </w:p>
          <w:p>
            <w:pPr>
              <w:spacing w:after="0" w:before="0"/>
            </w:pPr>
            <w:r>
              <w:rPr>
                <w:rFonts w:ascii="Arial" w:cs="Arial" w:eastAsia="Arial" w:hAnsi="Arial"/>
                <w:b/>
                <w:bCs/>
                <w:color w:val="074D3A"/>
                <w:sz w:val="20"/>
                <w:szCs w:val="20"/>
              </w:rPr>
              <w:t xml:space="preserve">Full wrap-around coverage for qualifying low-income seniors</w:t>
            </w:r>
          </w:p>
        </w:tc>
      </w:tr>
    </w:tbl>
    <w:p>
      <w:pPr>
        <w:spacing w:after="0" w:before="200"/>
      </w:pPr>
      <w:r>
        <w:t xml:space="preserve"/>
      </w:r>
    </w:p>
    <w:p>
      <w:r>
        <w:br w:type="page"/>
      </w:r>
    </w:p>
    <w:p>
      <w:pPr>
        <w:pStyle w:val="Heading2"/>
      </w:pPr>
      <w:r>
        <w:rPr>
          <w:rFonts w:ascii="Arial" w:cs="Arial" w:eastAsia="Arial" w:hAnsi="Arial"/>
          <w:b/>
          <w:bCs/>
          <w:color w:val="6B4F9E"/>
          <w:sz w:val="26"/>
          <w:szCs w:val="26"/>
        </w:rPr>
        <w:t xml:space="preserve">Food Security &amp; Housing Stability</w:t>
      </w:r>
    </w:p>
    <w:p>
      <w:pPr>
        <w:pBdr>
          <w:bottom w:val="single" w:color="6B4F9E"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74D3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74D3A"/>
                <w:sz w:val="22"/>
                <w:szCs w:val="22"/>
              </w:rPr>
              <w:t xml:space="preserve">SNAP for Seniors — Simplified Oregon Pathway</w:t>
            </w:r>
          </w:p>
          <w:p>
            <w:pPr>
              <w:spacing w:after="50" w:before="0"/>
            </w:pPr>
            <w:r>
              <w:rPr>
                <w:rFonts w:ascii="Arial" w:cs="Arial" w:eastAsia="Arial" w:hAnsi="Arial"/>
                <w:color w:val="3D3D3A"/>
                <w:sz w:val="20"/>
                <w:szCs w:val="20"/>
              </w:rPr>
              <w:t xml:space="preserve">Oregon seniors on Social Security have a separate, simplified SNAP pathway with a higher income limit than the standard program. The average benefit for an eligible senior household is $70–$140/month. HAC-ES identifies qualification and navigates the application — most qualifying seniors never apply because they assume they won't be eligible or that the benefit is too small to bother.</w:t>
            </w:r>
          </w:p>
          <w:p>
            <w:pPr>
              <w:spacing w:after="0" w:before="0"/>
            </w:pPr>
            <w:r>
              <w:rPr>
                <w:rFonts w:ascii="Arial" w:cs="Arial" w:eastAsia="Arial" w:hAnsi="Arial"/>
                <w:b/>
                <w:bCs/>
                <w:color w:val="074D3A"/>
                <w:sz w:val="20"/>
                <w:szCs w:val="20"/>
              </w:rPr>
              <w:t xml:space="preserve">Potential benefit: $840–$1,680/year</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74D3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74D3A"/>
                <w:sz w:val="22"/>
                <w:szCs w:val="22"/>
              </w:rPr>
              <w:t xml:space="preserve">Oregon Senior Property Tax Exemption &amp; Deferral</w:t>
            </w:r>
          </w:p>
          <w:p>
            <w:pPr>
              <w:spacing w:after="50" w:before="0"/>
            </w:pPr>
            <w:r>
              <w:rPr>
                <w:rFonts w:ascii="Arial" w:cs="Arial" w:eastAsia="Arial" w:hAnsi="Arial"/>
                <w:color w:val="3D3D3A"/>
                <w:sz w:val="20"/>
                <w:szCs w:val="20"/>
              </w:rPr>
              <w:t xml:space="preserve">Oregon's Senior and Disabled Citizen Deferral program allows qualifying homeowners (age 62+, income under $48,000) to defer property taxes at 6% interest until the home is sold — preserving cash flow now. The Disabled Homeowner Exemption can reduce assessed value. HAC-ES identifies eligibility, files applications, and monitors annual renewal deadlines on your behalf.</w:t>
            </w:r>
          </w:p>
          <w:p>
            <w:pPr>
              <w:spacing w:after="0" w:before="0"/>
            </w:pPr>
            <w:r>
              <w:rPr>
                <w:rFonts w:ascii="Arial" w:cs="Arial" w:eastAsia="Arial" w:hAnsi="Arial"/>
                <w:b/>
                <w:bCs/>
                <w:color w:val="074D3A"/>
                <w:sz w:val="20"/>
                <w:szCs w:val="20"/>
              </w:rPr>
              <w:t xml:space="preserve">Potential savings: $1,500–$4,500+/year in deferred or reduced taxes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B3D6B"/>
                <w:sz w:val="22"/>
                <w:szCs w:val="22"/>
              </w:rPr>
              <w:t xml:space="preserve">Housing Stability Referrals &amp; Emergency Assistance</w:t>
            </w:r>
          </w:p>
          <w:p>
            <w:pPr>
              <w:spacing w:after="50" w:before="0"/>
            </w:pPr>
            <w:r>
              <w:rPr>
                <w:rFonts w:ascii="Arial" w:cs="Arial" w:eastAsia="Arial" w:hAnsi="Arial"/>
                <w:color w:val="3D3D3A"/>
                <w:sz w:val="20"/>
                <w:szCs w:val="20"/>
              </w:rPr>
              <w:t xml:space="preserve">HAC-ES monitors members' housing stability indicators and connects at-risk members to SVdP Lane County emergency rental assistance, Oregon's Emergency Rental Assistance Program (ERAP), and the Community Land Trust network before situations become crises. For homeowners, we connect to reverse mortgage counseling through HUD-approved agencies and foreclosure prevention resources.</w:t>
            </w:r>
          </w:p>
          <w:p>
            <w:pPr>
              <w:spacing w:after="0" w:before="0"/>
            </w:pPr>
            <w:r>
              <w:rPr>
                <w:rFonts w:ascii="Arial" w:cs="Arial" w:eastAsia="Arial" w:hAnsi="Arial"/>
                <w:b/>
                <w:bCs/>
                <w:color w:val="0B3D6B"/>
                <w:sz w:val="20"/>
                <w:szCs w:val="20"/>
              </w:rPr>
              <w:t xml:space="preserve">Proactive intervention before crisis</w:t>
            </w:r>
          </w:p>
        </w:tc>
      </w:tr>
    </w:tbl>
    <w:p>
      <w:pPr>
        <w:spacing w:after="0" w:before="200"/>
      </w:pPr>
      <w:r>
        <w:t xml:space="preserve"/>
      </w:r>
    </w:p>
    <w:p>
      <w:pPr>
        <w:pStyle w:val="Heading2"/>
      </w:pPr>
      <w:r>
        <w:rPr>
          <w:rFonts w:ascii="Arial" w:cs="Arial" w:eastAsia="Arial" w:hAnsi="Arial"/>
          <w:b/>
          <w:bCs/>
          <w:color w:val="6B4F9E"/>
          <w:sz w:val="26"/>
          <w:szCs w:val="26"/>
        </w:rPr>
        <w:t xml:space="preserve">Utility Cost Reduction</w:t>
      </w:r>
    </w:p>
    <w:p>
      <w:pPr>
        <w:pBdr>
          <w:bottom w:val="single" w:color="6B4F9E"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Retirees are home more and use more energy. Utility costs consume a disproportionate share of a fixed income. HAC-ES stacks every available program — federal, state, and utility — to deliver the maximum possible reduction in monthly bills.</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B8590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B8590A"/>
                <w:sz w:val="22"/>
                <w:szCs w:val="22"/>
              </w:rPr>
              <w:t xml:space="preserve">Home Weatherization — EWEB Income-Qualified Program</w:t>
            </w:r>
          </w:p>
          <w:p>
            <w:pPr>
              <w:spacing w:after="50" w:before="0"/>
            </w:pPr>
            <w:r>
              <w:rPr>
                <w:rFonts w:ascii="Arial" w:cs="Arial" w:eastAsia="Arial" w:hAnsi="Arial"/>
                <w:color w:val="3D3D3A"/>
                <w:sz w:val="20"/>
                <w:szCs w:val="20"/>
              </w:rPr>
              <w:t xml:space="preserve">EWEB's income-qualified weatherization program provides free insulation, air sealing, window upgrades, and duct sealing to qualifying low-income customers — paid entirely by EWEB. For a leaky older home, these improvements can reduce heating and cooling costs by 20–40%. HAC-ES identifies qualification, schedules the energy audit, and coordinates contractor access.</w:t>
            </w:r>
          </w:p>
          <w:p>
            <w:pPr>
              <w:spacing w:after="0" w:before="0"/>
            </w:pPr>
            <w:r>
              <w:rPr>
                <w:rFonts w:ascii="Arial" w:cs="Arial" w:eastAsia="Arial" w:hAnsi="Arial"/>
                <w:b/>
                <w:bCs/>
                <w:color w:val="B8590A"/>
                <w:sz w:val="20"/>
                <w:szCs w:val="20"/>
              </w:rPr>
              <w:t xml:space="preserve">One-time upgrade worth $3,000–$8,000 at no cost to qualifying members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B8590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B8590A"/>
                <w:sz w:val="22"/>
                <w:szCs w:val="22"/>
              </w:rPr>
              <w:t xml:space="preserve">Heat Pump Installation — IRA Income-Qualified Rebates</w:t>
            </w:r>
          </w:p>
          <w:p>
            <w:pPr>
              <w:spacing w:after="50" w:before="0"/>
            </w:pPr>
            <w:r>
              <w:rPr>
                <w:rFonts w:ascii="Arial" w:cs="Arial" w:eastAsia="Arial" w:hAnsi="Arial"/>
                <w:color w:val="3D3D3A"/>
                <w:sz w:val="20"/>
                <w:szCs w:val="20"/>
              </w:rPr>
              <w:t xml:space="preserve">The Inflation Reduction Act's High-Efficiency Electric Home Rebate Act (HEEHRA) provides rebates up to $8,000 for heat pump HVAC systems for income-qualified households. Combined with EWEB's heat pump rebate (up to $4,500) and Oregon Energy Trust incentives, a qualifying retired homeowner may pay little or nothing for a system that cuts heating costs by 30–50%.</w:t>
            </w:r>
          </w:p>
          <w:p>
            <w:pPr>
              <w:spacing w:after="0" w:before="0"/>
            </w:pPr>
            <w:r>
              <w:rPr>
                <w:rFonts w:ascii="Arial" w:cs="Arial" w:eastAsia="Arial" w:hAnsi="Arial"/>
                <w:b/>
                <w:bCs/>
                <w:color w:val="B8590A"/>
                <w:sz w:val="20"/>
                <w:szCs w:val="20"/>
              </w:rPr>
              <w:t xml:space="preserve">Rebate up to $8,000 for income-qualified households (80% AMI or below)</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B8590A"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B8590A"/>
                <w:sz w:val="22"/>
                <w:szCs w:val="22"/>
              </w:rPr>
              <w:t xml:space="preserve">Community Solar Bill Credits — No Roof Required</w:t>
            </w:r>
          </w:p>
          <w:p>
            <w:pPr>
              <w:spacing w:after="50" w:before="0"/>
            </w:pPr>
            <w:r>
              <w:rPr>
                <w:rFonts w:ascii="Arial" w:cs="Arial" w:eastAsia="Arial" w:hAnsi="Arial"/>
                <w:color w:val="3D3D3A"/>
                <w:sz w:val="20"/>
                <w:szCs w:val="20"/>
              </w:rPr>
              <w:t xml:space="preserve">EWEB's community solar program lets any customer — renter or homeowner — subscribe to a share of a local solar array and receive a monthly credit on their electric bill. Income-qualified subscribers receive the lowest subscription cost tier. No installation, no roof condition required. HAC-ES handles enrollment and ensures members receive the income-based pricing tier.</w:t>
            </w:r>
          </w:p>
          <w:p>
            <w:pPr>
              <w:spacing w:after="0" w:before="0"/>
            </w:pPr>
            <w:r>
              <w:rPr>
                <w:rFonts w:ascii="Arial" w:cs="Arial" w:eastAsia="Arial" w:hAnsi="Arial"/>
                <w:b/>
                <w:bCs/>
                <w:color w:val="B8590A"/>
                <w:sz w:val="20"/>
                <w:szCs w:val="20"/>
              </w:rPr>
              <w:t xml:space="preserve">Potential bill reduction: 20–40% of electric costs, ongoing</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B3D6B"/>
                <w:sz w:val="22"/>
                <w:szCs w:val="22"/>
              </w:rPr>
              <w:t xml:space="preserve">OEAP &amp; LIHEAP Utility Assistance</w:t>
            </w:r>
          </w:p>
          <w:p>
            <w:pPr>
              <w:spacing w:after="50" w:before="0"/>
            </w:pPr>
            <w:r>
              <w:rPr>
                <w:rFonts w:ascii="Arial" w:cs="Arial" w:eastAsia="Arial" w:hAnsi="Arial"/>
                <w:color w:val="3D3D3A"/>
                <w:sz w:val="20"/>
                <w:szCs w:val="20"/>
              </w:rPr>
              <w:t xml:space="preserve">The Oregon Energy Assistance Program (OEAP) and federal Low Income Home Energy Assistance Program (LIHEAP) provide direct utility bill assistance to qualifying low-income households. HAC-ES applies annually on behalf of enrolled members — including tracking application windows, which vary by fuel type and county — so no member ever misses a cycle.</w:t>
            </w:r>
          </w:p>
          <w:p>
            <w:pPr>
              <w:spacing w:after="0" w:before="0"/>
            </w:pPr>
            <w:r>
              <w:rPr>
                <w:rFonts w:ascii="Arial" w:cs="Arial" w:eastAsia="Arial" w:hAnsi="Arial"/>
                <w:b/>
                <w:bCs/>
                <w:color w:val="0B3D6B"/>
                <w:sz w:val="20"/>
                <w:szCs w:val="20"/>
              </w:rPr>
              <w:t xml:space="preserve">Annual assistance: typically $200–$600/year</w:t>
            </w:r>
          </w:p>
        </w:tc>
      </w:tr>
    </w:tbl>
    <w:p>
      <w:pPr>
        <w:spacing w:after="0" w:before="200"/>
      </w:pPr>
      <w:r>
        <w:t xml:space="preserve"/>
      </w:r>
    </w:p>
    <w:p>
      <w:r>
        <w:br w:type="page"/>
      </w:r>
    </w:p>
    <w:p>
      <w:pPr>
        <w:pStyle w:val="Heading2"/>
      </w:pPr>
      <w:r>
        <w:rPr>
          <w:rFonts w:ascii="Arial" w:cs="Arial" w:eastAsia="Arial" w:hAnsi="Arial"/>
          <w:b/>
          <w:bCs/>
          <w:color w:val="6B4F9E"/>
          <w:sz w:val="26"/>
          <w:szCs w:val="26"/>
        </w:rPr>
        <w:t xml:space="preserve">Community, Contribution &amp; Additional Income</w:t>
      </w:r>
    </w:p>
    <w:p>
      <w:pPr>
        <w:pBdr>
          <w:bottom w:val="single" w:color="6B4F9E" w:sz="6" w:space="1"/>
        </w:pBdr>
        <w:spacing w:after="0" w:before="0"/>
      </w:pPr>
      <w:r>
        <w:t xml:space="preserve"/>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6B4F9E"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6B4F9E"/>
                <w:sz w:val="22"/>
                <w:szCs w:val="22"/>
              </w:rPr>
              <w:t xml:space="preserve">Service Contribution Credits — Your Time Has Value</w:t>
            </w:r>
          </w:p>
          <w:p>
            <w:pPr>
              <w:spacing w:after="50" w:before="0"/>
            </w:pPr>
            <w:r>
              <w:rPr>
                <w:rFonts w:ascii="Arial" w:cs="Arial" w:eastAsia="Arial" w:hAnsi="Arial"/>
                <w:color w:val="3D3D3A"/>
                <w:sz w:val="20"/>
                <w:szCs w:val="20"/>
              </w:rPr>
              <w:t xml:space="preserve">Retired members who volunteer — community gardening, tutoring, childcare support, neighborhood organizing, elder peer support, mutual aid coordination — earn HAC-ES Service Contribution Credits at $15/hour equivalent. Credits are redeemable for services within the cooperative network. Your decades of knowledge and your available time are among the cooperative's most valuable assets.</w:t>
            </w:r>
          </w:p>
          <w:p>
            <w:pPr>
              <w:spacing w:after="0" w:before="0"/>
            </w:pPr>
            <w:r>
              <w:rPr>
                <w:rFonts w:ascii="Arial" w:cs="Arial" w:eastAsia="Arial" w:hAnsi="Arial"/>
                <w:b/>
                <w:bCs/>
                <w:color w:val="6B4F9E"/>
                <w:sz w:val="20"/>
                <w:szCs w:val="20"/>
              </w:rPr>
              <w:t xml:space="preserve">10 hours/month = $1,800/year in cooperative credits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6B4F9E"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6B4F9E"/>
                <w:sz w:val="22"/>
                <w:szCs w:val="22"/>
              </w:rPr>
              <w:t xml:space="preserve">Time Banking — Exchange Skills Within the Network</w:t>
            </w:r>
          </w:p>
          <w:p>
            <w:pPr>
              <w:spacing w:after="50" w:before="0"/>
            </w:pPr>
            <w:r>
              <w:rPr>
                <w:rFonts w:ascii="Arial" w:cs="Arial" w:eastAsia="Arial" w:hAnsi="Arial"/>
                <w:color w:val="3D3D3A"/>
                <w:sz w:val="20"/>
                <w:szCs w:val="20"/>
              </w:rPr>
              <w:t xml:space="preserve">HAC-ES's time banking system (Phase 2, 2027) allows members to exchange services directly: a retired accountant helps a young member with taxes; a retired nurse provides health coaching; a retired carpenter teaches home repair. One hour given = one credit earned, redeemable for one hour of any other member's service. Fixed-income members can access services they could never afford on the market.</w:t>
            </w:r>
          </w:p>
          <w:p>
            <w:pPr>
              <w:spacing w:after="0" w:before="0"/>
            </w:pPr>
            <w:r>
              <w:rPr>
                <w:rFonts w:ascii="Arial" w:cs="Arial" w:eastAsia="Arial" w:hAnsi="Arial"/>
                <w:b/>
                <w:bCs/>
                <w:color w:val="6B4F9E"/>
                <w:sz w:val="20"/>
                <w:szCs w:val="20"/>
              </w:rPr>
              <w:t xml:space="preserve">Skill-for-skill exchange with no cash required</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B3D6B"/>
                <w:sz w:val="22"/>
                <w:szCs w:val="22"/>
              </w:rPr>
              <w:t xml:space="preserve">Human Asset Dividend</w:t>
            </w:r>
          </w:p>
          <w:p>
            <w:pPr>
              <w:spacing w:after="50" w:before="0"/>
            </w:pPr>
            <w:r>
              <w:rPr>
                <w:rFonts w:ascii="Arial" w:cs="Arial" w:eastAsia="Arial" w:hAnsi="Arial"/>
                <w:color w:val="3D3D3A"/>
                <w:sz w:val="20"/>
                <w:szCs w:val="20"/>
              </w:rPr>
              <w:t xml:space="preserve">As the Human Asset Fund grows, founding members receive a periodic dividend modeled on Alaska's Permanent Fund — a direct payment distributed to all Individual Members in good standing. For a retired member on a fixed income, this is a meaningful supplement that grows as the cooperative grows. The HAIS calculates dividend amounts based on Fund performance, reserve requirements, and member tenure.</w:t>
            </w:r>
          </w:p>
          <w:p>
            <w:pPr>
              <w:spacing w:after="0" w:before="0"/>
            </w:pPr>
            <w:r>
              <w:rPr>
                <w:rFonts w:ascii="Arial" w:cs="Arial" w:eastAsia="Arial" w:hAnsi="Arial"/>
                <w:b/>
                <w:bCs/>
                <w:color w:val="0B3D6B"/>
                <w:sz w:val="20"/>
                <w:szCs w:val="20"/>
              </w:rPr>
              <w:t xml:space="preserve">Periodic direct payment as the Fund matures</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F8F8F6" w:val="clear"/>
            <w:tcMar>
              <w:top w:type="dxa" w:w="100"/>
              <w:left w:type="dxa" w:w="200"/>
              <w:bottom w:type="dxa" w:w="100"/>
              <w:right w:type="dxa" w:w="200"/>
            </w:tcMar>
          </w:tcPr>
          <w:p>
            <w:pPr>
              <w:spacing w:after="30" w:before="0"/>
            </w:pPr>
            <w:r>
              <w:rPr>
                <w:rFonts w:ascii="Arial" w:cs="Arial" w:eastAsia="Arial" w:hAnsi="Arial"/>
                <w:b/>
                <w:bCs/>
                <w:color w:val="0B3D6B"/>
                <w:sz w:val="22"/>
                <w:szCs w:val="22"/>
              </w:rPr>
              <w:t xml:space="preserve">Democratic Governance — One Member, One Vote</w:t>
            </w:r>
          </w:p>
          <w:p>
            <w:pPr>
              <w:spacing w:after="50" w:before="0"/>
            </w:pPr>
            <w:r>
              <w:rPr>
                <w:rFonts w:ascii="Arial" w:cs="Arial" w:eastAsia="Arial" w:hAnsi="Arial"/>
                <w:color w:val="3D3D3A"/>
                <w:sz w:val="20"/>
                <w:szCs w:val="20"/>
              </w:rPr>
              <w:t xml:space="preserve">Every HAC-ES member holds one vote — equal to every other member regardless of income, assets, or contribution level. Retired members bring irreplaceable institutional knowledge, long community relationships, and the time to participate deeply in governance. Run for the Governing Council. Propose policy changes. Shape how the community invests in its future.</w:t>
            </w:r>
          </w:p>
          <w:p>
            <w:pPr>
              <w:spacing w:after="0" w:before="0"/>
            </w:pPr>
            <w:r>
              <w:rPr>
                <w:rFonts w:ascii="Arial" w:cs="Arial" w:eastAsia="Arial" w:hAnsi="Arial"/>
                <w:b/>
                <w:bCs/>
                <w:color w:val="0B3D6B"/>
                <w:sz w:val="20"/>
                <w:szCs w:val="20"/>
              </w:rPr>
              <w:t xml:space="preserve">Equal voice regardless of income</w:t>
            </w:r>
          </w:p>
        </w:tc>
      </w:tr>
    </w:tbl>
    <w:p>
      <w:pPr>
        <w:spacing w:after="0" w:before="200"/>
      </w:pPr>
      <w:r>
        <w:t xml:space="preserve"/>
      </w:r>
    </w:p>
    <w:p>
      <w:pPr>
        <w:pStyle w:val="Heading2"/>
      </w:pPr>
      <w:r>
        <w:rPr>
          <w:rFonts w:ascii="Arial" w:cs="Arial" w:eastAsia="Arial" w:hAnsi="Arial"/>
          <w:b/>
          <w:bCs/>
          <w:color w:val="6B4F9E"/>
          <w:sz w:val="26"/>
          <w:szCs w:val="26"/>
        </w:rPr>
        <w:t xml:space="preserve">Estimated Annual Value — Typical Retired Social Security Member</w:t>
      </w:r>
    </w:p>
    <w:p>
      <w:pPr>
        <w:pBdr>
          <w:bottom w:val="single" w:color="6B4F9E"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Benefits are additive and based on individual eligibility. HAC-ES navigates all applications on the member's behalf. Figures reflect 2026 program values.</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2520"/>
        <w:gridCol w:w="2520"/>
      </w:tblGrid>
      <w:tr>
        <w:trPr>
          <w:tblHeader/>
        </w:trPr>
        <w:tc>
          <w:tcPr>
            <w:tcW w:type="dxa" w:w="5040"/>
            <w:tcBorders>
              <w:top w:val="single" w:color="CCCCCC" w:sz="1"/>
              <w:left w:val="single" w:color="CCCCCC" w:sz="1"/>
              <w:bottom w:val="single" w:color="CCCCCC" w:sz="1"/>
              <w:right w:val="single" w:color="CCCCCC" w:sz="1"/>
            </w:tcBorders>
            <w:shd w:fill="6B4F9E" w:val="clear"/>
            <w:tcMar>
              <w:top w:type="dxa" w:w="80"/>
              <w:left w:type="dxa" w:w="120"/>
              <w:bottom w:type="dxa" w:w="80"/>
              <w:right w:type="dxa" w:w="120"/>
            </w:tcMar>
          </w:tcPr>
          <w:p>
            <w:r>
              <w:rPr>
                <w:rFonts w:ascii="Arial" w:cs="Arial" w:eastAsia="Arial" w:hAnsi="Arial"/>
                <w:b/>
                <w:bCs/>
                <w:color w:val="FFFFFF"/>
                <w:sz w:val="20"/>
                <w:szCs w:val="20"/>
              </w:rPr>
              <w:t xml:space="preserve">Program / Benefit</w:t>
            </w:r>
          </w:p>
        </w:tc>
        <w:tc>
          <w:tcPr>
            <w:tcW w:type="dxa" w:w="2520"/>
            <w:tcBorders>
              <w:top w:val="single" w:color="CCCCCC" w:sz="1"/>
              <w:left w:val="single" w:color="CCCCCC" w:sz="1"/>
              <w:bottom w:val="single" w:color="CCCCCC" w:sz="1"/>
              <w:right w:val="single" w:color="CCCCCC" w:sz="1"/>
            </w:tcBorders>
            <w:shd w:fill="6B4F9E" w:val="clear"/>
            <w:tcMar>
              <w:top w:type="dxa" w:w="80"/>
              <w:left w:type="dxa" w:w="80"/>
              <w:bottom w:type="dxa" w:w="80"/>
              <w:right w:type="dxa" w:w="80"/>
            </w:tcMar>
          </w:tcPr>
          <w:p>
            <w:pPr>
              <w:jc w:val="center"/>
            </w:pPr>
            <w:r>
              <w:rPr>
                <w:rFonts w:ascii="Arial" w:cs="Arial" w:eastAsia="Arial" w:hAnsi="Arial"/>
                <w:b/>
                <w:bCs/>
                <w:color w:val="FFFFFF"/>
                <w:sz w:val="20"/>
                <w:szCs w:val="20"/>
              </w:rPr>
              <w:t xml:space="preserve">Annual Value</w:t>
            </w:r>
          </w:p>
        </w:tc>
        <w:tc>
          <w:tcPr>
            <w:tcW w:type="dxa" w:w="2520"/>
            <w:tcBorders>
              <w:top w:val="single" w:color="CCCCCC" w:sz="1"/>
              <w:left w:val="single" w:color="CCCCCC" w:sz="1"/>
              <w:bottom w:val="single" w:color="CCCCCC" w:sz="1"/>
              <w:right w:val="single" w:color="CCCCCC" w:sz="1"/>
            </w:tcBorders>
            <w:shd w:fill="6B4F9E" w:val="clear"/>
            <w:tcMar>
              <w:top w:type="dxa" w:w="80"/>
              <w:left w:type="dxa" w:w="80"/>
              <w:bottom w:type="dxa" w:w="80"/>
              <w:right w:type="dxa" w:w="80"/>
            </w:tcMar>
          </w:tcPr>
          <w:p>
            <w:pPr>
              <w:jc w:val="center"/>
            </w:pPr>
            <w:r>
              <w:rPr>
                <w:rFonts w:ascii="Arial" w:cs="Arial" w:eastAsia="Arial" w:hAnsi="Arial"/>
                <w:b/>
                <w:bCs/>
                <w:color w:val="FFFFFF"/>
                <w:sz w:val="20"/>
                <w:szCs w:val="20"/>
              </w:rPr>
              <w:t xml:space="preserve">Eligibility</w:t>
            </w:r>
          </w:p>
        </w:tc>
      </w:tr>
      <w:tr>
        <w:tc>
          <w:tcPr>
            <w:tcW w:type="dxa" w:w="50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20"/>
                <w:szCs w:val="20"/>
              </w:rPr>
              <w:t xml:space="preserve">Medicare Savings Program (QMB)</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6B4F9E"/>
                <w:sz w:val="20"/>
                <w:szCs w:val="20"/>
              </w:rPr>
              <w:t xml:space="preserve">$2,096+</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r>
              <w:rPr>
                <w:rFonts w:ascii="Arial" w:cs="Arial" w:eastAsia="Arial" w:hAnsi="Arial"/>
                <w:color w:val="6A6A65"/>
                <w:sz w:val="18"/>
                <w:szCs w:val="18"/>
              </w:rPr>
              <w:t xml:space="preserve">SS recipients at/below 100% FPL</w:t>
            </w:r>
          </w:p>
        </w:tc>
      </w:tr>
      <w:tr>
        <w:tc>
          <w:tcPr>
            <w:tcW w:type="dxa" w:w="5040"/>
            <w:tcBorders>
              <w:top w:val="single" w:color="CCCCCC" w:sz="1"/>
              <w:left w:val="single" w:color="CCCCCC" w:sz="1"/>
              <w:bottom w:val="single" w:color="CCCCCC" w:sz="1"/>
              <w:right w:val="single" w:color="CCCCCC" w:sz="1"/>
            </w:tcBorders>
            <w:shd w:fill="F3EEF9" w:val="clear"/>
            <w:tcMar>
              <w:top w:type="dxa" w:w="70"/>
              <w:left w:type="dxa" w:w="120"/>
              <w:bottom w:type="dxa" w:w="70"/>
              <w:right w:type="dxa" w:w="120"/>
            </w:tcMar>
          </w:tcPr>
          <w:p>
            <w:r>
              <w:rPr>
                <w:rFonts w:ascii="Arial" w:cs="Arial" w:eastAsia="Arial" w:hAnsi="Arial"/>
                <w:sz w:val="20"/>
                <w:szCs w:val="20"/>
              </w:rPr>
              <w:t xml:space="preserve">Extra Help for Part D prescriptions</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pPr>
              <w:jc w:val="center"/>
            </w:pPr>
            <w:r>
              <w:rPr>
                <w:rFonts w:ascii="Arial" w:cs="Arial" w:eastAsia="Arial" w:hAnsi="Arial"/>
                <w:b/>
                <w:bCs/>
                <w:color w:val="6B4F9E"/>
                <w:sz w:val="20"/>
                <w:szCs w:val="20"/>
              </w:rPr>
              <w:t xml:space="preserve">$5,000+</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r>
              <w:rPr>
                <w:rFonts w:ascii="Arial" w:cs="Arial" w:eastAsia="Arial" w:hAnsi="Arial"/>
                <w:color w:val="6A6A65"/>
                <w:sz w:val="18"/>
                <w:szCs w:val="18"/>
              </w:rPr>
              <w:t xml:space="preserve">SS recipients with limited resources</w:t>
            </w:r>
          </w:p>
        </w:tc>
      </w:tr>
      <w:tr>
        <w:tc>
          <w:tcPr>
            <w:tcW w:type="dxa" w:w="50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20"/>
                <w:szCs w:val="20"/>
              </w:rPr>
              <w:t xml:space="preserve">SNAP for seniors</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6B4F9E"/>
                <w:sz w:val="20"/>
                <w:szCs w:val="20"/>
              </w:rPr>
              <w:t xml:space="preserve">$840–$1,680</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r>
              <w:rPr>
                <w:rFonts w:ascii="Arial" w:cs="Arial" w:eastAsia="Arial" w:hAnsi="Arial"/>
                <w:color w:val="6A6A65"/>
                <w:sz w:val="18"/>
                <w:szCs w:val="18"/>
              </w:rPr>
              <w:t xml:space="preserve">Income below 130% FPL (simplified pathway)</w:t>
            </w:r>
          </w:p>
        </w:tc>
      </w:tr>
      <w:tr>
        <w:tc>
          <w:tcPr>
            <w:tcW w:type="dxa" w:w="5040"/>
            <w:tcBorders>
              <w:top w:val="single" w:color="CCCCCC" w:sz="1"/>
              <w:left w:val="single" w:color="CCCCCC" w:sz="1"/>
              <w:bottom w:val="single" w:color="CCCCCC" w:sz="1"/>
              <w:right w:val="single" w:color="CCCCCC" w:sz="1"/>
            </w:tcBorders>
            <w:shd w:fill="F3EEF9" w:val="clear"/>
            <w:tcMar>
              <w:top w:type="dxa" w:w="70"/>
              <w:left w:type="dxa" w:w="120"/>
              <w:bottom w:type="dxa" w:w="70"/>
              <w:right w:type="dxa" w:w="120"/>
            </w:tcMar>
          </w:tcPr>
          <w:p>
            <w:r>
              <w:rPr>
                <w:rFonts w:ascii="Arial" w:cs="Arial" w:eastAsia="Arial" w:hAnsi="Arial"/>
                <w:sz w:val="20"/>
                <w:szCs w:val="20"/>
              </w:rPr>
              <w:t xml:space="preserve">Property tax deferral (Oregon)</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pPr>
              <w:jc w:val="center"/>
            </w:pPr>
            <w:r>
              <w:rPr>
                <w:rFonts w:ascii="Arial" w:cs="Arial" w:eastAsia="Arial" w:hAnsi="Arial"/>
                <w:b/>
                <w:bCs/>
                <w:color w:val="6B4F9E"/>
                <w:sz w:val="20"/>
                <w:szCs w:val="20"/>
              </w:rPr>
              <w:t xml:space="preserve">$1,500–$4,500+</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r>
              <w:rPr>
                <w:rFonts w:ascii="Arial" w:cs="Arial" w:eastAsia="Arial" w:hAnsi="Arial"/>
                <w:color w:val="6A6A65"/>
                <w:sz w:val="18"/>
                <w:szCs w:val="18"/>
              </w:rPr>
              <w:t xml:space="preserve">Age 62+, income under $48,000</w:t>
            </w:r>
          </w:p>
        </w:tc>
      </w:tr>
      <w:tr>
        <w:tc>
          <w:tcPr>
            <w:tcW w:type="dxa" w:w="50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20"/>
                <w:szCs w:val="20"/>
              </w:rPr>
              <w:t xml:space="preserve">EWEB weatherization (one-time)</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6B4F9E"/>
                <w:sz w:val="20"/>
                <w:szCs w:val="20"/>
              </w:rPr>
              <w:t xml:space="preserve">$3,000–$8,000*</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r>
              <w:rPr>
                <w:rFonts w:ascii="Arial" w:cs="Arial" w:eastAsia="Arial" w:hAnsi="Arial"/>
                <w:color w:val="6A6A65"/>
                <w:sz w:val="18"/>
                <w:szCs w:val="18"/>
              </w:rPr>
              <w:t xml:space="preserve">Income-qualified EWEB customers</w:t>
            </w:r>
          </w:p>
        </w:tc>
      </w:tr>
      <w:tr>
        <w:tc>
          <w:tcPr>
            <w:tcW w:type="dxa" w:w="5040"/>
            <w:tcBorders>
              <w:top w:val="single" w:color="CCCCCC" w:sz="1"/>
              <w:left w:val="single" w:color="CCCCCC" w:sz="1"/>
              <w:bottom w:val="single" w:color="CCCCCC" w:sz="1"/>
              <w:right w:val="single" w:color="CCCCCC" w:sz="1"/>
            </w:tcBorders>
            <w:shd w:fill="F3EEF9" w:val="clear"/>
            <w:tcMar>
              <w:top w:type="dxa" w:w="70"/>
              <w:left w:type="dxa" w:w="120"/>
              <w:bottom w:type="dxa" w:w="70"/>
              <w:right w:type="dxa" w:w="120"/>
            </w:tcMar>
          </w:tcPr>
          <w:p>
            <w:r>
              <w:rPr>
                <w:rFonts w:ascii="Arial" w:cs="Arial" w:eastAsia="Arial" w:hAnsi="Arial"/>
                <w:sz w:val="20"/>
                <w:szCs w:val="20"/>
              </w:rPr>
              <w:t xml:space="preserve">Heat pump rebate (IRA + EWEB)</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pPr>
              <w:jc w:val="center"/>
            </w:pPr>
            <w:r>
              <w:rPr>
                <w:rFonts w:ascii="Arial" w:cs="Arial" w:eastAsia="Arial" w:hAnsi="Arial"/>
                <w:b/>
                <w:bCs/>
                <w:color w:val="6B4F9E"/>
                <w:sz w:val="20"/>
                <w:szCs w:val="20"/>
              </w:rPr>
              <w:t xml:space="preserve">Up to $12,500*</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r>
              <w:rPr>
                <w:rFonts w:ascii="Arial" w:cs="Arial" w:eastAsia="Arial" w:hAnsi="Arial"/>
                <w:color w:val="6A6A65"/>
                <w:sz w:val="18"/>
                <w:szCs w:val="18"/>
              </w:rPr>
              <w:t xml:space="preserve">Income below 80% AMI</w:t>
            </w:r>
          </w:p>
        </w:tc>
      </w:tr>
      <w:tr>
        <w:tc>
          <w:tcPr>
            <w:tcW w:type="dxa" w:w="50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20"/>
                <w:szCs w:val="20"/>
              </w:rPr>
              <w:t xml:space="preserve">Community solar bill credits</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6B4F9E"/>
                <w:sz w:val="20"/>
                <w:szCs w:val="20"/>
              </w:rPr>
              <w:t xml:space="preserve">20–40% electric bill</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r>
              <w:rPr>
                <w:rFonts w:ascii="Arial" w:cs="Arial" w:eastAsia="Arial" w:hAnsi="Arial"/>
                <w:color w:val="6A6A65"/>
                <w:sz w:val="18"/>
                <w:szCs w:val="18"/>
              </w:rPr>
              <w:t xml:space="preserve">Any EWEB customer</w:t>
            </w:r>
          </w:p>
        </w:tc>
      </w:tr>
      <w:tr>
        <w:tc>
          <w:tcPr>
            <w:tcW w:type="dxa" w:w="5040"/>
            <w:tcBorders>
              <w:top w:val="single" w:color="CCCCCC" w:sz="1"/>
              <w:left w:val="single" w:color="CCCCCC" w:sz="1"/>
              <w:bottom w:val="single" w:color="CCCCCC" w:sz="1"/>
              <w:right w:val="single" w:color="CCCCCC" w:sz="1"/>
            </w:tcBorders>
            <w:shd w:fill="F3EEF9" w:val="clear"/>
            <w:tcMar>
              <w:top w:type="dxa" w:w="70"/>
              <w:left w:type="dxa" w:w="120"/>
              <w:bottom w:type="dxa" w:w="70"/>
              <w:right w:type="dxa" w:w="120"/>
            </w:tcMar>
          </w:tcPr>
          <w:p>
            <w:r>
              <w:rPr>
                <w:rFonts w:ascii="Arial" w:cs="Arial" w:eastAsia="Arial" w:hAnsi="Arial"/>
                <w:sz w:val="20"/>
                <w:szCs w:val="20"/>
              </w:rPr>
              <w:t xml:space="preserve">OEAP/LIHEAP utility assistance</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pPr>
              <w:jc w:val="center"/>
            </w:pPr>
            <w:r>
              <w:rPr>
                <w:rFonts w:ascii="Arial" w:cs="Arial" w:eastAsia="Arial" w:hAnsi="Arial"/>
                <w:b/>
                <w:bCs/>
                <w:color w:val="6B4F9E"/>
                <w:sz w:val="20"/>
                <w:szCs w:val="20"/>
              </w:rPr>
              <w:t xml:space="preserve">$200–$600</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r>
              <w:rPr>
                <w:rFonts w:ascii="Arial" w:cs="Arial" w:eastAsia="Arial" w:hAnsi="Arial"/>
                <w:color w:val="6A6A65"/>
                <w:sz w:val="18"/>
                <w:szCs w:val="18"/>
              </w:rPr>
              <w:t xml:space="preserve">Low-income households</w:t>
            </w:r>
          </w:p>
        </w:tc>
      </w:tr>
      <w:tr>
        <w:tc>
          <w:tcPr>
            <w:tcW w:type="dxa" w:w="504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Arial" w:cs="Arial" w:eastAsia="Arial" w:hAnsi="Arial"/>
                <w:sz w:val="20"/>
                <w:szCs w:val="20"/>
              </w:rPr>
              <w:t xml:space="preserve">Service contribution credits</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6B4F9E"/>
                <w:sz w:val="20"/>
                <w:szCs w:val="20"/>
              </w:rPr>
              <w:t xml:space="preserve">$1,800</w:t>
            </w:r>
          </w:p>
        </w:tc>
        <w:tc>
          <w:tcPr>
            <w:tcW w:type="dxa" w:w="25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r>
              <w:rPr>
                <w:rFonts w:ascii="Arial" w:cs="Arial" w:eastAsia="Arial" w:hAnsi="Arial"/>
                <w:color w:val="6A6A65"/>
                <w:sz w:val="18"/>
                <w:szCs w:val="18"/>
              </w:rPr>
              <w:t xml:space="preserve">10 hrs/month volunteer work</w:t>
            </w:r>
          </w:p>
        </w:tc>
      </w:tr>
      <w:tr>
        <w:tc>
          <w:tcPr>
            <w:tcW w:type="dxa" w:w="5040"/>
            <w:tcBorders>
              <w:top w:val="single" w:color="CCCCCC" w:sz="1"/>
              <w:left w:val="single" w:color="CCCCCC" w:sz="1"/>
              <w:bottom w:val="single" w:color="CCCCCC" w:sz="1"/>
              <w:right w:val="single" w:color="CCCCCC" w:sz="1"/>
            </w:tcBorders>
            <w:shd w:fill="F3EEF9" w:val="clear"/>
            <w:tcMar>
              <w:top w:type="dxa" w:w="70"/>
              <w:left w:type="dxa" w:w="120"/>
              <w:bottom w:type="dxa" w:w="70"/>
              <w:right w:type="dxa" w:w="120"/>
            </w:tcMar>
          </w:tcPr>
          <w:p>
            <w:r>
              <w:rPr>
                <w:rFonts w:ascii="Arial" w:cs="Arial" w:eastAsia="Arial" w:hAnsi="Arial"/>
                <w:sz w:val="20"/>
                <w:szCs w:val="20"/>
              </w:rPr>
              <w:t xml:space="preserve">Human Asset Dividend</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pPr>
              <w:jc w:val="center"/>
            </w:pPr>
            <w:r>
              <w:rPr>
                <w:rFonts w:ascii="Arial" w:cs="Arial" w:eastAsia="Arial" w:hAnsi="Arial"/>
                <w:b/>
                <w:bCs/>
                <w:color w:val="6B4F9E"/>
                <w:sz w:val="20"/>
                <w:szCs w:val="20"/>
              </w:rPr>
              <w:t xml:space="preserve">Growing annually</w:t>
            </w:r>
          </w:p>
        </w:tc>
        <w:tc>
          <w:tcPr>
            <w:tcW w:type="dxa" w:w="2520"/>
            <w:tcBorders>
              <w:top w:val="single" w:color="CCCCCC" w:sz="1"/>
              <w:left w:val="single" w:color="CCCCCC" w:sz="1"/>
              <w:bottom w:val="single" w:color="CCCCCC" w:sz="1"/>
              <w:right w:val="single" w:color="CCCCCC" w:sz="1"/>
            </w:tcBorders>
            <w:shd w:fill="F3EEF9" w:val="clear"/>
            <w:tcMar>
              <w:top w:type="dxa" w:w="70"/>
              <w:left w:type="dxa" w:w="80"/>
              <w:bottom w:type="dxa" w:w="70"/>
              <w:right w:type="dxa" w:w="80"/>
            </w:tcMar>
          </w:tcPr>
          <w:p>
            <w:r>
              <w:rPr>
                <w:rFonts w:ascii="Arial" w:cs="Arial" w:eastAsia="Arial" w:hAnsi="Arial"/>
                <w:color w:val="6A6A65"/>
                <w:sz w:val="18"/>
                <w:szCs w:val="18"/>
              </w:rPr>
              <w:t xml:space="preserve">All founding members</w:t>
            </w:r>
          </w:p>
        </w:tc>
      </w:tr>
    </w:tbl>
    <w:p>
      <w:pPr>
        <w:spacing w:after="0" w:before="80"/>
      </w:pPr>
      <w:r>
        <w:t xml:space="preserve"/>
      </w:r>
    </w:p>
    <w:p>
      <w:pPr>
        <w:spacing w:after="100" w:before="60"/>
        <w:jc w:val="left"/>
      </w:pPr>
      <w:r>
        <w:rPr>
          <w:rFonts w:ascii="Arial" w:cs="Arial" w:eastAsia="Arial" w:hAnsi="Arial"/>
          <w:b w:val="false"/>
          <w:bCs w:val="false"/>
          <w:i/>
          <w:iCs/>
          <w:color w:val="8A8A85"/>
          <w:sz w:val="22"/>
          <w:szCs w:val="22"/>
        </w:rPr>
        <w:t xml:space="preserve">* One-time program values amortized or delivered as upfront rebate. Annual savings from weatherization and heat pump typically $600–$1,800/year ongoing after the upgrade.</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6B4F9E" w:sz="8"/>
              <w:left w:val="single" w:color="6B4F9E" w:sz="8"/>
              <w:bottom w:val="single" w:color="6B4F9E" w:sz="8"/>
              <w:right w:val="single" w:color="6B4F9E" w:sz="8"/>
            </w:tcBorders>
            <w:shd w:fill="F3EEF9" w:val="clear"/>
            <w:tcMar>
              <w:top w:type="dxa" w:w="160"/>
              <w:left w:type="dxa" w:w="320"/>
              <w:bottom w:type="dxa" w:w="160"/>
              <w:right w:type="dxa" w:w="320"/>
            </w:tcMar>
          </w:tcPr>
          <w:p>
            <w:pPr>
              <w:spacing w:after="60" w:before="0"/>
              <w:jc w:val="center"/>
            </w:pPr>
            <w:r>
              <w:rPr>
                <w:rFonts w:ascii="Arial" w:cs="Arial" w:eastAsia="Arial" w:hAnsi="Arial"/>
                <w:b/>
                <w:bCs/>
                <w:color w:val="6B4F9E"/>
                <w:sz w:val="40"/>
                <w:szCs w:val="40"/>
              </w:rPr>
              <w:t xml:space="preserve">$6,000–$10,000+</w:t>
            </w:r>
          </w:p>
          <w:p>
            <w:pPr>
              <w:spacing w:after="80" w:before="0"/>
              <w:jc w:val="center"/>
            </w:pPr>
            <w:r>
              <w:rPr>
                <w:rFonts w:ascii="Arial" w:cs="Arial" w:eastAsia="Arial" w:hAnsi="Arial"/>
                <w:color w:val="3D3D3A"/>
                <w:sz w:val="22"/>
                <w:szCs w:val="22"/>
              </w:rPr>
              <w:t xml:space="preserve">estimated annual value for a typical qualifying retired member</w:t>
            </w:r>
          </w:p>
          <w:p>
            <w:pPr>
              <w:spacing w:after="0" w:before="0"/>
              <w:jc w:val="center"/>
            </w:pPr>
            <w:r>
              <w:rPr>
                <w:rFonts w:ascii="Arial" w:cs="Arial" w:eastAsia="Arial" w:hAnsi="Arial"/>
                <w:i/>
                <w:iCs/>
                <w:color w:val="6B4F9E"/>
                <w:sz w:val="20"/>
                <w:szCs w:val="20"/>
              </w:rPr>
              <w:t xml:space="preserve">From a membership that costs $0–$60 per year.</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80"/>
              <w:left w:type="dxa" w:w="480"/>
              <w:bottom w:type="dxa" w:w="280"/>
              <w:right w:type="dxa" w:w="480"/>
            </w:tcMar>
          </w:tcPr>
          <w:p>
            <w:pPr>
              <w:spacing w:after="100" w:before="0"/>
              <w:jc w:val="center"/>
            </w:pPr>
            <w:r>
              <w:rPr>
                <w:rFonts w:ascii="Arial" w:cs="Arial" w:eastAsia="Arial" w:hAnsi="Arial"/>
                <w:b/>
                <w:bCs/>
                <w:color w:val="FFFFFF"/>
                <w:sz w:val="26"/>
                <w:szCs w:val="26"/>
              </w:rPr>
              <w:t xml:space="preserve">You contributed for decades. HAC-ES makes sure your community invests back.</w:t>
            </w:r>
          </w:p>
          <w:p>
            <w:pPr>
              <w:spacing w:after="0" w:before="0"/>
              <w:jc w:val="center"/>
            </w:pPr>
            <w:r>
              <w:rPr>
                <w:rFonts w:ascii="Arial" w:cs="Arial" w:eastAsia="Arial" w:hAnsi="Arial"/>
                <w:color w:val="8BBFE8"/>
                <w:sz w:val="21"/>
                <w:szCs w:val="21"/>
              </w:rPr>
              <w:t xml:space="preserve">Membership costs $0 if you need it to. Every benefit listed here is navigated for you by the HAIS and our outreach team.</w:t>
            </w:r>
          </w:p>
        </w:tc>
      </w:tr>
    </w:tbl>
    <w:p>
      <w:pPr>
        <w:spacing w:after="0" w:before="120"/>
      </w:pPr>
      <w:r>
        <w:t xml:space="preserve"/>
      </w:r>
    </w:p>
    <w:p>
      <w:pPr>
        <w:pBdr>
          <w:bottom w:val="single" w:color="6B4F9E" w:sz="6" w:space="1"/>
        </w:pBdr>
        <w:spacing w:after="0" w:before="0"/>
      </w:pPr>
      <w:r>
        <w:t xml:space="preserve"/>
      </w:r>
    </w:p>
    <w:p>
      <w:pPr>
        <w:spacing w:after="0" w:before="60"/>
      </w:pPr>
      <w:r>
        <w:t xml:space="preserve"/>
      </w:r>
    </w:p>
    <w:p>
      <w:pPr>
        <w:spacing w:after="100" w:before="60"/>
        <w:jc w:val="left"/>
      </w:pPr>
      <w:r>
        <w:rPr>
          <w:rFonts w:ascii="Arial" w:cs="Arial" w:eastAsia="Arial" w:hAnsi="Arial"/>
          <w:b w:val="false"/>
          <w:bCs w:val="false"/>
          <w:i/>
          <w:iCs/>
          <w:color w:val="8A8A85"/>
          <w:sz w:val="22"/>
          <w:szCs w:val="22"/>
        </w:rPr>
        <w:t xml:space="preserve">Human Asset Cooperative of Eugene-Springfield  ·  Benefits for Retired Members on Social Security  ·  Draft 1.0  ·  2026. Program values are estimates based on 2026 program parameters. Eligibility varies. This document does not constitute benefits counseling.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B3D6B" w:sz="4" w:space="1"/>
      </w:pBdr>
      <w:spacing w:after="0" w:before="80"/>
      <w:jc w:val="right"/>
    </w:pPr>
    <w:r>
      <w:rPr>
        <w:rFonts w:ascii="Arial" w:cs="Arial" w:eastAsia="Arial" w:hAnsi="Arial"/>
        <w:color w:val="6A6A65"/>
        <w:sz w:val="18"/>
        <w:szCs w:val="18"/>
      </w:rPr>
      <w:t xml:space="preserve">Page </w:t>
    </w:r>
    <w:r>
      <w:rPr>
        <w:rFonts w:ascii="Arial" w:cs="Arial" w:eastAsia="Arial" w:hAnsi="Arial"/>
        <w:color w:val="6A6A6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4F9E" w:sz="4" w:space="1"/>
      </w:pBdr>
      <w:spacing w:after="80" w:before="0"/>
    </w:pPr>
    <w:r>
      <w:rPr>
        <w:rFonts w:ascii="Arial" w:cs="Arial" w:eastAsia="Arial" w:hAnsi="Arial"/>
        <w:color w:val="6A6A65"/>
        <w:sz w:val="18"/>
        <w:szCs w:val="18"/>
      </w:rPr>
      <w:t xml:space="preserve">Human Asset Cooperative of Eugene-Springfield  |  </w:t>
    </w:r>
    <w:r>
      <w:rPr>
        <w:rFonts w:ascii="Arial" w:cs="Arial" w:eastAsia="Arial" w:hAnsi="Arial"/>
        <w:b/>
        <w:bCs/>
        <w:color w:val="6B4F9E"/>
        <w:sz w:val="18"/>
        <w:szCs w:val="18"/>
      </w:rPr>
      <w:t xml:space="preserve">Retired on Social Security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B3D6B"/>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6B4F9E"/>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2026-06-02T21:09:18.033Z</dcterms:created>
  <dcterms:modified xsi:type="dcterms:W3CDTF">2026-06-02T21:09:18.034Z</dcterms:modified>
</cp:coreProperties>
</file>

<file path=docProps/custom.xml><?xml version="1.0" encoding="utf-8"?>
<Properties xmlns="http://schemas.openxmlformats.org/officeDocument/2006/custom-properties" xmlns:vt="http://schemas.openxmlformats.org/officeDocument/2006/docPropsVTypes"/>
</file>